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778C" w14:textId="77777777" w:rsidR="007E5128" w:rsidRPr="00395802" w:rsidRDefault="007E5128" w:rsidP="00395802">
      <w:pPr>
        <w:jc w:val="both"/>
        <w:rPr>
          <w:rFonts w:ascii="Times New Roman" w:hAnsi="Times New Roman"/>
          <w:noProof/>
          <w:sz w:val="24"/>
        </w:rPr>
      </w:pPr>
      <w:r>
        <w:rPr>
          <w:rFonts w:ascii="Times New Roman" w:hAnsi="Times New Roman"/>
          <w:noProof/>
          <w:sz w:val="24"/>
        </w:rPr>
        <w:drawing>
          <wp:inline distT="0" distB="0" distL="0" distR="0" wp14:anchorId="27B9770F" wp14:editId="72DE2895">
            <wp:extent cx="1256330" cy="393763"/>
            <wp:effectExtent l="0" t="0" r="0" b="0"/>
            <wp:docPr id="3" name="Image 3" descr="A blue and black logo&#10;&#10;AI-generated content may be incorrect.">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black logo&#10;&#10;AI-generated content may be incorrect.">
                      <a:hlinkClick r:id="rId10"/>
                    </pic:cNvPr>
                    <pic:cNvPicPr/>
                  </pic:nvPicPr>
                  <pic:blipFill>
                    <a:blip r:embed="rId11" cstate="print"/>
                    <a:stretch>
                      <a:fillRect/>
                    </a:stretch>
                  </pic:blipFill>
                  <pic:spPr>
                    <a:xfrm>
                      <a:off x="0" y="0"/>
                      <a:ext cx="1256330" cy="393763"/>
                    </a:xfrm>
                    <a:prstGeom prst="rect">
                      <a:avLst/>
                    </a:prstGeom>
                  </pic:spPr>
                </pic:pic>
              </a:graphicData>
            </a:graphic>
          </wp:inline>
        </w:drawing>
      </w:r>
    </w:p>
    <w:p w14:paraId="6D49249A" w14:textId="77777777" w:rsidR="007E5128" w:rsidRPr="00395802" w:rsidRDefault="007E5128" w:rsidP="00395802">
      <w:pPr>
        <w:jc w:val="both"/>
        <w:rPr>
          <w:rFonts w:ascii="Times New Roman" w:hAnsi="Times New Roman"/>
          <w:noProof/>
          <w:sz w:val="24"/>
        </w:rPr>
      </w:pPr>
    </w:p>
    <w:p w14:paraId="2A0E2A9F" w14:textId="77777777" w:rsidR="007E5128" w:rsidRPr="00395802" w:rsidRDefault="007E5128" w:rsidP="00395802">
      <w:pPr>
        <w:jc w:val="both"/>
        <w:rPr>
          <w:rFonts w:ascii="Times New Roman" w:hAnsi="Times New Roman"/>
          <w:noProof/>
          <w:sz w:val="24"/>
        </w:rPr>
      </w:pPr>
    </w:p>
    <w:p w14:paraId="7C85E735" w14:textId="77777777" w:rsidR="007E5128" w:rsidRPr="00395802" w:rsidRDefault="007E5128" w:rsidP="00395802">
      <w:pPr>
        <w:jc w:val="both"/>
        <w:rPr>
          <w:rFonts w:ascii="Times New Roman" w:hAnsi="Times New Roman"/>
          <w:noProof/>
          <w:sz w:val="24"/>
        </w:rPr>
      </w:pPr>
    </w:p>
    <w:p w14:paraId="3803C71A" w14:textId="77777777" w:rsidR="007E5128" w:rsidRPr="00674A12" w:rsidRDefault="007E5128" w:rsidP="00674A12">
      <w:pPr>
        <w:jc w:val="center"/>
        <w:rPr>
          <w:rFonts w:ascii="Times New Roman" w:hAnsi="Times New Roman"/>
          <w:b/>
          <w:noProof/>
          <w:sz w:val="28"/>
          <w:szCs w:val="24"/>
        </w:rPr>
      </w:pPr>
      <w:r>
        <w:rPr>
          <w:rFonts w:ascii="Times New Roman" w:hAnsi="Times New Roman"/>
          <w:b/>
          <w:i/>
          <w:iCs/>
          <w:sz w:val="28"/>
        </w:rPr>
        <w:t>ED</w:t>
      </w:r>
      <w:r>
        <w:rPr>
          <w:rFonts w:ascii="Times New Roman" w:hAnsi="Times New Roman"/>
          <w:b/>
          <w:sz w:val="28"/>
        </w:rPr>
        <w:t xml:space="preserve"> Lēmuma 2025/002/R III pielikums</w:t>
      </w:r>
    </w:p>
    <w:p w14:paraId="03FA0B30" w14:textId="77777777" w:rsidR="007E5128" w:rsidRPr="00674A12" w:rsidRDefault="007E5128" w:rsidP="00674A12">
      <w:pPr>
        <w:jc w:val="center"/>
        <w:rPr>
          <w:rFonts w:ascii="Times New Roman" w:hAnsi="Times New Roman"/>
          <w:b/>
          <w:noProof/>
          <w:sz w:val="28"/>
          <w:szCs w:val="24"/>
        </w:rPr>
      </w:pPr>
    </w:p>
    <w:p w14:paraId="2A8BE2A4" w14:textId="77777777" w:rsidR="007E5128" w:rsidRPr="00674A12" w:rsidRDefault="007E5128" w:rsidP="00674A12">
      <w:pPr>
        <w:jc w:val="center"/>
        <w:rPr>
          <w:rFonts w:ascii="Times New Roman" w:hAnsi="Times New Roman"/>
          <w:b/>
          <w:noProof/>
          <w:sz w:val="28"/>
          <w:szCs w:val="24"/>
        </w:rPr>
      </w:pPr>
      <w:r>
        <w:rPr>
          <w:rFonts w:ascii="Times New Roman" w:hAnsi="Times New Roman"/>
          <w:b/>
          <w:sz w:val="28"/>
        </w:rPr>
        <w:t>“</w:t>
      </w:r>
      <w:r>
        <w:rPr>
          <w:rFonts w:ascii="Times New Roman" w:hAnsi="Times New Roman"/>
          <w:b/>
          <w:i/>
          <w:iCs/>
          <w:sz w:val="28"/>
        </w:rPr>
        <w:t>AMC</w:t>
      </w:r>
      <w:r>
        <w:rPr>
          <w:rFonts w:ascii="Times New Roman" w:hAnsi="Times New Roman"/>
          <w:b/>
          <w:sz w:val="28"/>
        </w:rPr>
        <w:t xml:space="preserve"> un </w:t>
      </w:r>
      <w:r>
        <w:rPr>
          <w:rFonts w:ascii="Times New Roman" w:hAnsi="Times New Roman"/>
          <w:b/>
          <w:i/>
          <w:iCs/>
          <w:sz w:val="28"/>
        </w:rPr>
        <w:t>GM</w:t>
      </w:r>
      <w:r>
        <w:rPr>
          <w:rFonts w:ascii="Times New Roman" w:hAnsi="Times New Roman"/>
          <w:b/>
          <w:sz w:val="28"/>
        </w:rPr>
        <w:t xml:space="preserve"> par MED daļu. 2. izdevums, 1. grozījums”</w:t>
      </w:r>
    </w:p>
    <w:p w14:paraId="53827BE1" w14:textId="77777777" w:rsidR="007E5128" w:rsidRDefault="007E5128" w:rsidP="00395802">
      <w:pPr>
        <w:jc w:val="both"/>
        <w:rPr>
          <w:rFonts w:ascii="Times New Roman" w:hAnsi="Times New Roman"/>
          <w:b/>
          <w:noProof/>
          <w:sz w:val="24"/>
        </w:rPr>
      </w:pPr>
    </w:p>
    <w:p w14:paraId="171F7AB6" w14:textId="77777777" w:rsidR="00674A12" w:rsidRPr="00395802" w:rsidRDefault="00674A12" w:rsidP="00395802">
      <w:pPr>
        <w:jc w:val="both"/>
        <w:rPr>
          <w:rFonts w:ascii="Times New Roman" w:hAnsi="Times New Roman"/>
          <w:b/>
          <w:noProof/>
          <w:sz w:val="24"/>
        </w:rPr>
      </w:pPr>
    </w:p>
    <w:p w14:paraId="4FD73975" w14:textId="77777777" w:rsidR="007E5128" w:rsidRPr="00395802" w:rsidRDefault="007E5128" w:rsidP="00395802">
      <w:pPr>
        <w:jc w:val="both"/>
        <w:rPr>
          <w:rFonts w:ascii="Times New Roman" w:hAnsi="Times New Roman"/>
          <w:noProof/>
          <w:sz w:val="24"/>
        </w:rPr>
      </w:pPr>
      <w:r>
        <w:rPr>
          <w:rFonts w:ascii="Times New Roman" w:hAnsi="Times New Roman"/>
          <w:sz w:val="24"/>
        </w:rPr>
        <w:t>Grozījuma teksts ir izkārtots tā, lai parādītu gan svītroto tekstu, gan jauno un neizmainīto tekstu:</w:t>
      </w:r>
    </w:p>
    <w:p w14:paraId="0EC42BBA" w14:textId="77777777" w:rsidR="007E5128" w:rsidRPr="00674A12" w:rsidRDefault="007E5128" w:rsidP="00B34206">
      <w:pPr>
        <w:pStyle w:val="ListParagraph"/>
        <w:numPr>
          <w:ilvl w:val="0"/>
          <w:numId w:val="11"/>
        </w:numPr>
        <w:spacing w:before="120"/>
        <w:ind w:left="425" w:hanging="357"/>
        <w:jc w:val="both"/>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16CE3977" w14:textId="77777777" w:rsidR="007E5128" w:rsidRPr="00674A12" w:rsidRDefault="007E5128" w:rsidP="00B34206">
      <w:pPr>
        <w:pStyle w:val="ListParagraph"/>
        <w:numPr>
          <w:ilvl w:val="0"/>
          <w:numId w:val="11"/>
        </w:numPr>
        <w:spacing w:before="120"/>
        <w:ind w:left="425" w:hanging="357"/>
        <w:jc w:val="both"/>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007F5B3B" w14:textId="77777777" w:rsidR="007E5128" w:rsidRPr="00674A12" w:rsidRDefault="007E5128" w:rsidP="00B34206">
      <w:pPr>
        <w:pStyle w:val="ListParagraph"/>
        <w:numPr>
          <w:ilvl w:val="0"/>
          <w:numId w:val="11"/>
        </w:numPr>
        <w:spacing w:before="120"/>
        <w:ind w:left="425" w:hanging="357"/>
        <w:jc w:val="both"/>
        <w:rPr>
          <w:rFonts w:ascii="Times New Roman" w:hAnsi="Times New Roman"/>
          <w:noProof/>
          <w:sz w:val="24"/>
        </w:rPr>
      </w:pPr>
      <w:r>
        <w:rPr>
          <w:rFonts w:ascii="Times New Roman" w:hAnsi="Times New Roman"/>
          <w:sz w:val="24"/>
        </w:rPr>
        <w:t>divpunkte “(..)” norāda, ka pārējais teksts nav grozīts.</w:t>
      </w:r>
    </w:p>
    <w:p w14:paraId="30DBA779" w14:textId="77777777" w:rsidR="007E5128" w:rsidRPr="00395802" w:rsidRDefault="007E5128" w:rsidP="00395802">
      <w:pPr>
        <w:jc w:val="both"/>
        <w:rPr>
          <w:rFonts w:ascii="Times New Roman" w:hAnsi="Times New Roman"/>
          <w:noProof/>
          <w:sz w:val="24"/>
        </w:rPr>
      </w:pPr>
    </w:p>
    <w:p w14:paraId="75B499E8" w14:textId="77777777" w:rsidR="007E5128" w:rsidRPr="00395802" w:rsidRDefault="007E5128" w:rsidP="00395802">
      <w:pPr>
        <w:jc w:val="both"/>
        <w:rPr>
          <w:rFonts w:ascii="Times New Roman" w:hAnsi="Times New Roman"/>
          <w:noProof/>
          <w:sz w:val="24"/>
        </w:rPr>
      </w:pPr>
    </w:p>
    <w:p w14:paraId="2C815387" w14:textId="77777777" w:rsidR="007E5128" w:rsidRPr="00395802" w:rsidRDefault="007E5128" w:rsidP="00395802">
      <w:pPr>
        <w:jc w:val="both"/>
        <w:rPr>
          <w:rFonts w:ascii="Times New Roman" w:hAnsi="Times New Roman"/>
          <w:noProof/>
          <w:sz w:val="24"/>
        </w:rPr>
      </w:pPr>
    </w:p>
    <w:p w14:paraId="786E3609" w14:textId="77777777" w:rsidR="007E5128" w:rsidRPr="00395802" w:rsidRDefault="007E5128" w:rsidP="00395802">
      <w:pPr>
        <w:jc w:val="both"/>
        <w:rPr>
          <w:rFonts w:ascii="Times New Roman" w:hAnsi="Times New Roman"/>
          <w:noProof/>
          <w:sz w:val="24"/>
        </w:rPr>
      </w:pPr>
    </w:p>
    <w:p w14:paraId="371BE8DD" w14:textId="77777777" w:rsidR="007E5128" w:rsidRPr="00395802" w:rsidRDefault="007E5128" w:rsidP="00395802">
      <w:pPr>
        <w:jc w:val="both"/>
        <w:rPr>
          <w:rFonts w:ascii="Times New Roman" w:hAnsi="Times New Roman"/>
          <w:noProof/>
          <w:sz w:val="24"/>
        </w:rPr>
      </w:pPr>
    </w:p>
    <w:p w14:paraId="44C127D9" w14:textId="77777777" w:rsidR="007E5128" w:rsidRPr="00395802" w:rsidRDefault="007E5128" w:rsidP="00395802">
      <w:pPr>
        <w:jc w:val="both"/>
        <w:rPr>
          <w:rFonts w:ascii="Times New Roman" w:hAnsi="Times New Roman"/>
          <w:noProof/>
          <w:sz w:val="24"/>
        </w:rPr>
      </w:pPr>
    </w:p>
    <w:p w14:paraId="41228733" w14:textId="77777777" w:rsidR="007E5128" w:rsidRPr="00395802" w:rsidRDefault="007E5128" w:rsidP="00395802">
      <w:pPr>
        <w:jc w:val="both"/>
        <w:rPr>
          <w:rFonts w:ascii="Times New Roman" w:hAnsi="Times New Roman"/>
          <w:noProof/>
          <w:sz w:val="24"/>
        </w:rPr>
      </w:pPr>
    </w:p>
    <w:p w14:paraId="64A9816C" w14:textId="77777777" w:rsidR="007E5128" w:rsidRPr="00395802" w:rsidRDefault="007E5128" w:rsidP="00395802">
      <w:pPr>
        <w:jc w:val="both"/>
        <w:rPr>
          <w:rFonts w:ascii="Times New Roman" w:hAnsi="Times New Roman"/>
          <w:noProof/>
          <w:sz w:val="24"/>
        </w:rPr>
      </w:pPr>
    </w:p>
    <w:p w14:paraId="55D6FA87" w14:textId="77777777" w:rsidR="007E5128" w:rsidRPr="00395802" w:rsidRDefault="007E5128" w:rsidP="00395802">
      <w:pPr>
        <w:jc w:val="both"/>
        <w:rPr>
          <w:rFonts w:ascii="Times New Roman" w:hAnsi="Times New Roman"/>
          <w:noProof/>
          <w:sz w:val="24"/>
        </w:rPr>
      </w:pPr>
    </w:p>
    <w:p w14:paraId="3355F545" w14:textId="77777777" w:rsidR="007E5128" w:rsidRPr="00395802" w:rsidRDefault="007E5128" w:rsidP="00395802">
      <w:pPr>
        <w:jc w:val="both"/>
        <w:rPr>
          <w:rFonts w:ascii="Times New Roman" w:hAnsi="Times New Roman"/>
          <w:noProof/>
          <w:sz w:val="24"/>
        </w:rPr>
      </w:pPr>
    </w:p>
    <w:p w14:paraId="03AF24F2" w14:textId="77777777" w:rsidR="007E5128" w:rsidRPr="00395802" w:rsidRDefault="007E5128" w:rsidP="00395802">
      <w:pPr>
        <w:jc w:val="both"/>
        <w:rPr>
          <w:rFonts w:ascii="Times New Roman" w:hAnsi="Times New Roman"/>
          <w:noProof/>
          <w:sz w:val="24"/>
        </w:rPr>
      </w:pPr>
    </w:p>
    <w:p w14:paraId="71291953" w14:textId="77777777" w:rsidR="007E5128" w:rsidRPr="00395802" w:rsidRDefault="007E5128" w:rsidP="00395802">
      <w:pPr>
        <w:jc w:val="both"/>
        <w:rPr>
          <w:rFonts w:ascii="Times New Roman" w:hAnsi="Times New Roman"/>
          <w:noProof/>
          <w:sz w:val="24"/>
        </w:rPr>
      </w:pPr>
    </w:p>
    <w:p w14:paraId="50BD74F2" w14:textId="77777777" w:rsidR="007E5128" w:rsidRPr="00395802" w:rsidRDefault="007E5128" w:rsidP="00395802">
      <w:pPr>
        <w:jc w:val="both"/>
        <w:rPr>
          <w:rFonts w:ascii="Times New Roman" w:hAnsi="Times New Roman"/>
          <w:noProof/>
          <w:sz w:val="24"/>
        </w:rPr>
      </w:pPr>
    </w:p>
    <w:p w14:paraId="0F3C420E" w14:textId="77777777" w:rsidR="007E5128" w:rsidRPr="00395802" w:rsidRDefault="007E5128" w:rsidP="00395802">
      <w:pPr>
        <w:jc w:val="both"/>
        <w:rPr>
          <w:rFonts w:ascii="Times New Roman" w:hAnsi="Times New Roman"/>
          <w:noProof/>
          <w:sz w:val="24"/>
        </w:rPr>
      </w:pPr>
    </w:p>
    <w:p w14:paraId="15BEDA45" w14:textId="77777777" w:rsidR="007E5128" w:rsidRPr="00395802" w:rsidRDefault="007E5128" w:rsidP="00395802">
      <w:pPr>
        <w:jc w:val="both"/>
        <w:rPr>
          <w:rFonts w:ascii="Times New Roman" w:hAnsi="Times New Roman"/>
          <w:noProof/>
          <w:sz w:val="24"/>
        </w:rPr>
      </w:pPr>
    </w:p>
    <w:p w14:paraId="55C851F8" w14:textId="77777777" w:rsidR="007E5128" w:rsidRPr="00395802" w:rsidRDefault="007E5128" w:rsidP="00395802">
      <w:pPr>
        <w:jc w:val="both"/>
        <w:rPr>
          <w:rFonts w:ascii="Times New Roman" w:hAnsi="Times New Roman"/>
          <w:noProof/>
          <w:sz w:val="24"/>
        </w:rPr>
      </w:pPr>
    </w:p>
    <w:p w14:paraId="00FD8D2F" w14:textId="77777777" w:rsidR="007E5128" w:rsidRPr="00395802" w:rsidRDefault="007E5128" w:rsidP="00395802">
      <w:pPr>
        <w:jc w:val="both"/>
        <w:rPr>
          <w:rFonts w:ascii="Times New Roman" w:hAnsi="Times New Roman"/>
          <w:noProof/>
          <w:sz w:val="24"/>
        </w:rPr>
      </w:pPr>
    </w:p>
    <w:p w14:paraId="1A1E01BE" w14:textId="77777777" w:rsidR="007E5128" w:rsidRPr="00395802" w:rsidRDefault="007E5128" w:rsidP="00395802">
      <w:pPr>
        <w:jc w:val="both"/>
        <w:rPr>
          <w:rFonts w:ascii="Times New Roman" w:hAnsi="Times New Roman"/>
          <w:noProof/>
          <w:sz w:val="24"/>
        </w:rPr>
      </w:pPr>
    </w:p>
    <w:p w14:paraId="0C359C50" w14:textId="77777777" w:rsidR="007E5128" w:rsidRPr="00395802" w:rsidRDefault="007E5128" w:rsidP="00395802">
      <w:pPr>
        <w:jc w:val="both"/>
        <w:rPr>
          <w:rFonts w:ascii="Times New Roman" w:hAnsi="Times New Roman"/>
          <w:noProof/>
          <w:sz w:val="24"/>
        </w:rPr>
      </w:pPr>
    </w:p>
    <w:p w14:paraId="7FBA5035" w14:textId="77777777" w:rsidR="007E5128" w:rsidRPr="00395802" w:rsidRDefault="007E5128" w:rsidP="00395802">
      <w:pPr>
        <w:jc w:val="both"/>
        <w:rPr>
          <w:rFonts w:ascii="Times New Roman" w:hAnsi="Times New Roman"/>
          <w:noProof/>
          <w:sz w:val="24"/>
        </w:rPr>
      </w:pPr>
    </w:p>
    <w:p w14:paraId="29A41115" w14:textId="77777777" w:rsidR="007E5128" w:rsidRPr="00395802" w:rsidRDefault="007E5128" w:rsidP="00395802">
      <w:pPr>
        <w:jc w:val="both"/>
        <w:rPr>
          <w:rFonts w:ascii="Times New Roman" w:hAnsi="Times New Roman"/>
          <w:noProof/>
          <w:sz w:val="24"/>
        </w:rPr>
      </w:pPr>
    </w:p>
    <w:p w14:paraId="16300C40" w14:textId="77777777" w:rsidR="007E5128" w:rsidRPr="00395802" w:rsidRDefault="007E5128" w:rsidP="00395802">
      <w:pPr>
        <w:jc w:val="both"/>
        <w:rPr>
          <w:rFonts w:ascii="Times New Roman" w:hAnsi="Times New Roman"/>
          <w:noProof/>
          <w:sz w:val="24"/>
        </w:rPr>
      </w:pPr>
    </w:p>
    <w:p w14:paraId="4C52C0E0" w14:textId="77777777" w:rsidR="007E5128" w:rsidRPr="00395802" w:rsidRDefault="007E5128" w:rsidP="00395802">
      <w:pPr>
        <w:jc w:val="both"/>
        <w:rPr>
          <w:rFonts w:ascii="Times New Roman" w:hAnsi="Times New Roman"/>
          <w:noProof/>
          <w:sz w:val="24"/>
        </w:rPr>
      </w:pPr>
    </w:p>
    <w:p w14:paraId="1DBE321C" w14:textId="77777777" w:rsidR="007E5128" w:rsidRPr="00395802" w:rsidRDefault="007E5128" w:rsidP="00395802">
      <w:pPr>
        <w:jc w:val="both"/>
        <w:rPr>
          <w:rFonts w:ascii="Times New Roman" w:hAnsi="Times New Roman"/>
          <w:noProof/>
          <w:sz w:val="24"/>
        </w:rPr>
      </w:pPr>
    </w:p>
    <w:p w14:paraId="249522C2" w14:textId="77777777" w:rsidR="007E5128" w:rsidRPr="00395802" w:rsidRDefault="007E5128" w:rsidP="00395802">
      <w:pPr>
        <w:jc w:val="both"/>
        <w:rPr>
          <w:rFonts w:ascii="Times New Roman" w:hAnsi="Times New Roman"/>
          <w:noProof/>
          <w:sz w:val="24"/>
        </w:rPr>
      </w:pPr>
    </w:p>
    <w:p w14:paraId="08632401" w14:textId="77777777" w:rsidR="007E5128" w:rsidRPr="00395802" w:rsidRDefault="007E5128" w:rsidP="00395802">
      <w:pPr>
        <w:jc w:val="both"/>
        <w:rPr>
          <w:rFonts w:ascii="Times New Roman" w:hAnsi="Times New Roman"/>
          <w:noProof/>
          <w:sz w:val="24"/>
        </w:rPr>
      </w:pPr>
    </w:p>
    <w:p w14:paraId="6428C332" w14:textId="77777777" w:rsidR="007E5128" w:rsidRPr="00395802" w:rsidRDefault="007E5128" w:rsidP="00395802">
      <w:pPr>
        <w:jc w:val="both"/>
        <w:rPr>
          <w:rFonts w:ascii="Times New Roman" w:hAnsi="Times New Roman"/>
          <w:noProof/>
          <w:sz w:val="24"/>
        </w:rPr>
      </w:pPr>
    </w:p>
    <w:p w14:paraId="0AD532AE" w14:textId="77777777" w:rsidR="007E5128" w:rsidRPr="00395802" w:rsidRDefault="007E5128" w:rsidP="00395802">
      <w:pPr>
        <w:jc w:val="both"/>
        <w:rPr>
          <w:rFonts w:ascii="Times New Roman" w:hAnsi="Times New Roman"/>
          <w:noProof/>
          <w:sz w:val="24"/>
        </w:rPr>
      </w:pPr>
    </w:p>
    <w:p w14:paraId="3005E4B3" w14:textId="77777777" w:rsidR="007E5128" w:rsidRPr="00B34206" w:rsidRDefault="007E5128" w:rsidP="00395802">
      <w:pPr>
        <w:jc w:val="both"/>
        <w:rPr>
          <w:rFonts w:ascii="Times New Roman" w:hAnsi="Times New Roman"/>
          <w:b/>
          <w:i/>
          <w:noProof/>
          <w:szCs w:val="20"/>
        </w:rPr>
      </w:pPr>
      <w:r w:rsidRPr="00B34206">
        <w:rPr>
          <w:rFonts w:ascii="Times New Roman" w:hAnsi="Times New Roman"/>
          <w:b/>
          <w:i/>
          <w:szCs w:val="20"/>
        </w:rPr>
        <w:t>Piezīme lasītājam</w:t>
      </w:r>
    </w:p>
    <w:p w14:paraId="7EE6F229" w14:textId="77777777" w:rsidR="00674A12" w:rsidRPr="00B34206" w:rsidRDefault="00674A12" w:rsidP="00395802">
      <w:pPr>
        <w:jc w:val="both"/>
        <w:rPr>
          <w:rFonts w:ascii="Times New Roman" w:hAnsi="Times New Roman"/>
          <w:i/>
          <w:noProof/>
          <w:szCs w:val="20"/>
        </w:rPr>
      </w:pPr>
    </w:p>
    <w:p w14:paraId="6D23764D" w14:textId="03340D18" w:rsidR="007E5128" w:rsidRPr="00B34206" w:rsidRDefault="007E5128" w:rsidP="00395802">
      <w:pPr>
        <w:jc w:val="both"/>
        <w:rPr>
          <w:rFonts w:ascii="Times New Roman" w:hAnsi="Times New Roman"/>
          <w:i/>
          <w:noProof/>
          <w:szCs w:val="20"/>
        </w:rPr>
      </w:pPr>
      <w:r w:rsidRPr="00B34206">
        <w:rPr>
          <w:rFonts w:ascii="Times New Roman" w:hAnsi="Times New Roman"/>
          <w:i/>
          <w:szCs w:val="20"/>
        </w:rPr>
        <w:t xml:space="preserve">Grozītajā un jo īpaši esošajā (proti, nemainītajā) tekstā termins </w:t>
      </w:r>
      <w:r w:rsidRPr="00B34206">
        <w:rPr>
          <w:rFonts w:ascii="Times New Roman" w:hAnsi="Times New Roman"/>
          <w:szCs w:val="20"/>
        </w:rPr>
        <w:t xml:space="preserve">“aģentūra” </w:t>
      </w:r>
      <w:r w:rsidRPr="00B34206">
        <w:rPr>
          <w:rFonts w:ascii="Times New Roman" w:hAnsi="Times New Roman"/>
          <w:i/>
          <w:szCs w:val="20"/>
        </w:rPr>
        <w:t xml:space="preserve">tiek lietots pamīšus terminam </w:t>
      </w:r>
      <w:r w:rsidRPr="00B34206">
        <w:rPr>
          <w:rFonts w:ascii="Times New Roman" w:hAnsi="Times New Roman"/>
          <w:szCs w:val="20"/>
        </w:rPr>
        <w:t>“</w:t>
      </w:r>
      <w:r w:rsidRPr="00B34206">
        <w:rPr>
          <w:rFonts w:ascii="Times New Roman" w:hAnsi="Times New Roman"/>
          <w:i/>
          <w:iCs/>
          <w:szCs w:val="20"/>
        </w:rPr>
        <w:t>EASA</w:t>
      </w:r>
      <w:r w:rsidRPr="00B34206">
        <w:rPr>
          <w:rFonts w:ascii="Times New Roman" w:hAnsi="Times New Roman"/>
          <w:szCs w:val="20"/>
        </w:rPr>
        <w:t>”</w:t>
      </w:r>
      <w:r w:rsidRPr="00B34206">
        <w:rPr>
          <w:rFonts w:ascii="Times New Roman" w:hAnsi="Times New Roman"/>
          <w:i/>
          <w:szCs w:val="20"/>
        </w:rPr>
        <w:t xml:space="preserve">. Šo abu terminu pamīšais lietojums ir izteiktāks konsolidētajās redakcijās. Tāpēc lūdzam ņemt vērā, ka abi termini attiecas uz </w:t>
      </w:r>
      <w:r w:rsidRPr="00B34206">
        <w:rPr>
          <w:rFonts w:ascii="Times New Roman" w:hAnsi="Times New Roman"/>
          <w:szCs w:val="20"/>
        </w:rPr>
        <w:t>“Eiropas Aviācijas drošības aģentūru (</w:t>
      </w:r>
      <w:r w:rsidRPr="00B34206">
        <w:rPr>
          <w:rFonts w:ascii="Times New Roman" w:hAnsi="Times New Roman"/>
          <w:i/>
          <w:iCs/>
          <w:szCs w:val="20"/>
        </w:rPr>
        <w:t>EASA</w:t>
      </w:r>
      <w:r w:rsidRPr="00B34206">
        <w:rPr>
          <w:rFonts w:ascii="Times New Roman" w:hAnsi="Times New Roman"/>
          <w:szCs w:val="20"/>
        </w:rPr>
        <w:t>)”</w:t>
      </w:r>
      <w:r w:rsidRPr="00B34206">
        <w:rPr>
          <w:rFonts w:ascii="Times New Roman" w:hAnsi="Times New Roman"/>
          <w:i/>
          <w:szCs w:val="20"/>
        </w:rPr>
        <w:t>.</w:t>
      </w:r>
    </w:p>
    <w:p w14:paraId="71F707D4" w14:textId="0CB8B5DA" w:rsidR="00D2050C" w:rsidRPr="00395802" w:rsidRDefault="000E41C0" w:rsidP="000E41C0">
      <w:pPr>
        <w:rPr>
          <w:rFonts w:ascii="Times New Roman" w:hAnsi="Times New Roman"/>
          <w:i/>
          <w:noProof/>
          <w:sz w:val="24"/>
        </w:rPr>
      </w:pPr>
      <w:r>
        <w:br w:type="page"/>
      </w:r>
    </w:p>
    <w:p w14:paraId="7BB24EAB" w14:textId="77777777" w:rsidR="007E5128" w:rsidRPr="00395802" w:rsidRDefault="007E5128" w:rsidP="00395802">
      <w:pPr>
        <w:jc w:val="both"/>
        <w:rPr>
          <w:rFonts w:ascii="Times New Roman" w:hAnsi="Times New Roman"/>
          <w:noProof/>
          <w:sz w:val="24"/>
        </w:rPr>
      </w:pPr>
      <w:r>
        <w:rPr>
          <w:rFonts w:ascii="Times New Roman" w:hAnsi="Times New Roman"/>
          <w:sz w:val="24"/>
        </w:rPr>
        <w:lastRenderedPageBreak/>
        <w:t>Aģentūras izpilddirektora 2019. gada 28. janvāra Lēmuma 2019/002/R I pielikumu groza, kā norādīts turpmāk.</w:t>
      </w:r>
    </w:p>
    <w:p w14:paraId="0280E339" w14:textId="77777777" w:rsidR="007E5128" w:rsidRPr="00395802" w:rsidRDefault="007E5128" w:rsidP="00395802">
      <w:pPr>
        <w:jc w:val="both"/>
        <w:rPr>
          <w:rFonts w:ascii="Times New Roman" w:hAnsi="Times New Roman"/>
          <w:noProof/>
          <w:sz w:val="24"/>
        </w:rPr>
      </w:pPr>
    </w:p>
    <w:p w14:paraId="2599A0CE" w14:textId="77777777" w:rsidR="007E5128" w:rsidRPr="000E41C0" w:rsidRDefault="007E5128" w:rsidP="000E41C0">
      <w:pPr>
        <w:jc w:val="center"/>
        <w:rPr>
          <w:rFonts w:ascii="Times New Roman" w:hAnsi="Times New Roman"/>
          <w:b/>
          <w:bCs/>
          <w:noProof/>
          <w:sz w:val="24"/>
        </w:rPr>
      </w:pPr>
      <w:r>
        <w:rPr>
          <w:rFonts w:ascii="Times New Roman" w:hAnsi="Times New Roman"/>
          <w:b/>
          <w:sz w:val="24"/>
        </w:rPr>
        <w:t>B APAKŠDAĻA. PRASĪBAS PILOTU VESELĪBAS APLIECĪBĀM</w:t>
      </w:r>
    </w:p>
    <w:p w14:paraId="1DE08847" w14:textId="77777777" w:rsidR="000E41C0" w:rsidRPr="00395802" w:rsidRDefault="000E41C0" w:rsidP="000E41C0">
      <w:pPr>
        <w:jc w:val="center"/>
        <w:rPr>
          <w:rFonts w:ascii="Times New Roman" w:hAnsi="Times New Roman"/>
          <w:noProof/>
          <w:sz w:val="24"/>
        </w:rPr>
      </w:pPr>
    </w:p>
    <w:p w14:paraId="11BAC0EE" w14:textId="77777777" w:rsidR="007E5128" w:rsidRPr="00395802" w:rsidRDefault="007E5128" w:rsidP="000E41C0">
      <w:pPr>
        <w:jc w:val="center"/>
        <w:rPr>
          <w:rFonts w:ascii="Times New Roman" w:hAnsi="Times New Roman"/>
          <w:b/>
          <w:noProof/>
          <w:sz w:val="24"/>
        </w:rPr>
      </w:pPr>
      <w:r>
        <w:rPr>
          <w:rFonts w:ascii="Times New Roman" w:hAnsi="Times New Roman"/>
          <w:b/>
          <w:sz w:val="24"/>
        </w:rPr>
        <w:t>2. IEDAĻA. MEDICĪNISKĀS PRASĪBAS 1. UN 2. KLASES VESELĪBAS APLIECĪBĀM</w:t>
      </w:r>
    </w:p>
    <w:p w14:paraId="33D4BEAA" w14:textId="77777777" w:rsidR="007E5128" w:rsidRDefault="007E5128" w:rsidP="00395802">
      <w:pPr>
        <w:jc w:val="both"/>
        <w:rPr>
          <w:rFonts w:ascii="Times New Roman" w:hAnsi="Times New Roman"/>
          <w:b/>
          <w:noProof/>
          <w:sz w:val="24"/>
        </w:rPr>
      </w:pPr>
    </w:p>
    <w:p w14:paraId="0136BF95" w14:textId="77777777" w:rsidR="000E41C0" w:rsidRPr="00395802" w:rsidRDefault="000E41C0" w:rsidP="00395802">
      <w:pPr>
        <w:jc w:val="both"/>
        <w:rPr>
          <w:rFonts w:ascii="Times New Roman" w:hAnsi="Times New Roman"/>
          <w:b/>
          <w:noProof/>
          <w:sz w:val="24"/>
        </w:rPr>
      </w:pPr>
    </w:p>
    <w:p w14:paraId="03A34B24" w14:textId="77777777" w:rsidR="007E5128" w:rsidRPr="00395802" w:rsidRDefault="007E5128" w:rsidP="00395802">
      <w:pPr>
        <w:jc w:val="both"/>
        <w:rPr>
          <w:rFonts w:ascii="Times New Roman" w:hAnsi="Times New Roman"/>
          <w:noProof/>
          <w:sz w:val="24"/>
        </w:rPr>
      </w:pPr>
      <w:r>
        <w:rPr>
          <w:rFonts w:ascii="Times New Roman" w:hAnsi="Times New Roman"/>
          <w:sz w:val="24"/>
        </w:rPr>
        <w:t>B apakšdaļas “PRASĪBAS PILOTU VESELĪBAS APLIECĪBĀM” 2. iedaļu groza, kā norādīts turpmāk.</w:t>
      </w:r>
    </w:p>
    <w:p w14:paraId="2A864D37" w14:textId="77777777" w:rsidR="007E5128" w:rsidRPr="00395802" w:rsidRDefault="007E5128" w:rsidP="00395802">
      <w:pPr>
        <w:jc w:val="both"/>
        <w:rPr>
          <w:rFonts w:ascii="Times New Roman" w:hAnsi="Times New Roman"/>
          <w:noProof/>
          <w:sz w:val="24"/>
        </w:rPr>
      </w:pPr>
    </w:p>
    <w:p w14:paraId="7D4D061A" w14:textId="77777777" w:rsidR="007E5128" w:rsidRPr="00395802" w:rsidRDefault="007E5128" w:rsidP="00395802">
      <w:pPr>
        <w:jc w:val="both"/>
        <w:rPr>
          <w:rFonts w:ascii="Times New Roman" w:hAnsi="Times New Roman"/>
          <w:noProof/>
          <w:sz w:val="24"/>
        </w:rPr>
      </w:pPr>
    </w:p>
    <w:p w14:paraId="0EF00C75" w14:textId="6AD06CDD" w:rsidR="007E5128" w:rsidRPr="007D2235" w:rsidRDefault="007E5128" w:rsidP="000E41C0">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MED.B.010. punktu “Sirds un asinsvadu sistēma”</w:t>
      </w:r>
    </w:p>
    <w:p w14:paraId="0BB2794B" w14:textId="77777777" w:rsidR="000E41C0" w:rsidRPr="000E41C0" w:rsidRDefault="000E41C0" w:rsidP="00395802">
      <w:pPr>
        <w:jc w:val="both"/>
        <w:rPr>
          <w:rFonts w:ascii="Times New Roman" w:hAnsi="Times New Roman"/>
          <w:noProof/>
          <w:sz w:val="24"/>
          <w:shd w:val="clear" w:color="auto" w:fill="FFC000"/>
        </w:rPr>
      </w:pPr>
    </w:p>
    <w:p w14:paraId="2A1AA578" w14:textId="5F7EBA63" w:rsidR="007E5128" w:rsidRPr="00395802" w:rsidRDefault="001E48BA" w:rsidP="000C4588">
      <w:pPr>
        <w:spacing w:before="120"/>
        <w:jc w:val="both"/>
        <w:rPr>
          <w:rFonts w:ascii="Times New Roman" w:hAnsi="Times New Roman"/>
          <w:noProof/>
          <w:sz w:val="24"/>
        </w:rPr>
      </w:pPr>
      <w:r>
        <w:rPr>
          <w:rFonts w:ascii="Times New Roman" w:hAnsi="Times New Roman"/>
          <w:sz w:val="24"/>
        </w:rPr>
        <w:t>a) Pārbaude</w:t>
      </w:r>
    </w:p>
    <w:p w14:paraId="5B4AB293" w14:textId="77777777" w:rsidR="007E5128" w:rsidRPr="00395802" w:rsidRDefault="007E5128" w:rsidP="000C4588">
      <w:pPr>
        <w:spacing w:before="120"/>
        <w:ind w:left="284"/>
        <w:jc w:val="both"/>
        <w:rPr>
          <w:rFonts w:ascii="Times New Roman" w:hAnsi="Times New Roman"/>
          <w:noProof/>
          <w:sz w:val="24"/>
        </w:rPr>
      </w:pPr>
      <w:r>
        <w:rPr>
          <w:rFonts w:ascii="Times New Roman" w:hAnsi="Times New Roman"/>
          <w:sz w:val="24"/>
        </w:rPr>
        <w:t>Elektrokardiogrāfija fiziskas slodzes laikā</w:t>
      </w:r>
    </w:p>
    <w:p w14:paraId="5BB1A444" w14:textId="77777777" w:rsidR="007E5128" w:rsidRPr="00395802" w:rsidRDefault="007E5128" w:rsidP="000C4588">
      <w:pPr>
        <w:spacing w:before="120"/>
        <w:ind w:left="284"/>
        <w:jc w:val="both"/>
        <w:rPr>
          <w:rFonts w:ascii="Times New Roman" w:hAnsi="Times New Roman"/>
          <w:noProof/>
          <w:sz w:val="24"/>
        </w:rPr>
      </w:pPr>
      <w:r>
        <w:rPr>
          <w:rFonts w:ascii="Times New Roman" w:hAnsi="Times New Roman"/>
          <w:sz w:val="24"/>
        </w:rPr>
        <w:t>Elektrokardiogrāfija fiziskas slodzes laikā, ja nepieciešama kā daļa no sirds un asinsvadu sistēmas izmeklēšanas, jāveic, ja konstatēti attiecīgi simptomi un jāveic atbilstīgi Brūsa protokola 4. stadijai vai līdzvērtīgam līmenim.</w:t>
      </w:r>
    </w:p>
    <w:p w14:paraId="330F49E5" w14:textId="77777777" w:rsidR="00900577" w:rsidRDefault="00900577" w:rsidP="00395802">
      <w:pPr>
        <w:jc w:val="both"/>
        <w:rPr>
          <w:rFonts w:ascii="Times New Roman" w:hAnsi="Times New Roman"/>
          <w:noProof/>
          <w:sz w:val="24"/>
        </w:rPr>
      </w:pPr>
    </w:p>
    <w:p w14:paraId="48F7B000" w14:textId="590B492D" w:rsidR="007E5128" w:rsidRPr="00395802" w:rsidRDefault="00900577" w:rsidP="000C4588">
      <w:pPr>
        <w:spacing w:before="120"/>
        <w:jc w:val="both"/>
        <w:rPr>
          <w:rFonts w:ascii="Times New Roman" w:hAnsi="Times New Roman"/>
          <w:noProof/>
          <w:sz w:val="24"/>
        </w:rPr>
      </w:pPr>
      <w:r>
        <w:rPr>
          <w:rFonts w:ascii="Times New Roman" w:hAnsi="Times New Roman"/>
          <w:sz w:val="24"/>
        </w:rPr>
        <w:t>b) Vispārīgās prasības</w:t>
      </w:r>
    </w:p>
    <w:p w14:paraId="6127CE09" w14:textId="3D851301" w:rsidR="007E5128" w:rsidRPr="00395802" w:rsidRDefault="00237C80" w:rsidP="000C4588">
      <w:pPr>
        <w:spacing w:before="120"/>
        <w:ind w:left="284"/>
        <w:jc w:val="both"/>
        <w:rPr>
          <w:rFonts w:ascii="Times New Roman" w:hAnsi="Times New Roman"/>
          <w:noProof/>
          <w:sz w:val="24"/>
        </w:rPr>
      </w:pPr>
      <w:r>
        <w:rPr>
          <w:rFonts w:ascii="Times New Roman" w:hAnsi="Times New Roman"/>
          <w:sz w:val="24"/>
        </w:rPr>
        <w:t>1) Kardiovaskulārā riska faktoru novērtējums</w:t>
      </w:r>
    </w:p>
    <w:p w14:paraId="4F180789" w14:textId="563EA1DE" w:rsidR="007E5128" w:rsidRPr="00395802" w:rsidRDefault="002362CC" w:rsidP="000C4588">
      <w:pPr>
        <w:spacing w:before="120"/>
        <w:ind w:left="993" w:hanging="426"/>
        <w:jc w:val="both"/>
        <w:rPr>
          <w:rFonts w:ascii="Times New Roman" w:hAnsi="Times New Roman"/>
          <w:noProof/>
          <w:sz w:val="24"/>
        </w:rPr>
      </w:pPr>
      <w:r>
        <w:rPr>
          <w:rFonts w:ascii="Times New Roman" w:hAnsi="Times New Roman"/>
          <w:sz w:val="24"/>
        </w:rPr>
        <w:t xml:space="preserve">i) Lipīdu līmenis asins serumā tiek novērtēts nolūkā atklāt saslimšanas gadījumus, un </w:t>
      </w:r>
      <w:r>
        <w:rPr>
          <w:rFonts w:ascii="Times New Roman" w:hAnsi="Times New Roman"/>
          <w:i/>
          <w:iCs/>
          <w:sz w:val="24"/>
        </w:rPr>
        <w:t>AeMC</w:t>
      </w:r>
      <w:r>
        <w:rPr>
          <w:rFonts w:ascii="Times New Roman" w:hAnsi="Times New Roman"/>
          <w:sz w:val="24"/>
        </w:rPr>
        <w:t xml:space="preserve"> vai AMPV ir jāpārbauda, jāizpēta un jāpārrauga ievērojamas novirzes no normas, apspriežoties ar sertificēšanas iestādes medicīnas ekspertu.</w:t>
      </w:r>
    </w:p>
    <w:p w14:paraId="67E5EB8F" w14:textId="30242D38" w:rsidR="007E5128" w:rsidRPr="00395802" w:rsidRDefault="00636695" w:rsidP="000C4588">
      <w:pPr>
        <w:spacing w:before="120"/>
        <w:ind w:left="993" w:hanging="426"/>
        <w:jc w:val="both"/>
        <w:rPr>
          <w:rFonts w:ascii="Times New Roman" w:hAnsi="Times New Roman"/>
          <w:noProof/>
          <w:color w:val="000000"/>
          <w:sz w:val="24"/>
        </w:rPr>
      </w:pPr>
      <w:r>
        <w:rPr>
          <w:rFonts w:ascii="Times New Roman" w:hAnsi="Times New Roman"/>
          <w:sz w:val="24"/>
        </w:rPr>
        <w:t xml:space="preserve">ii) </w:t>
      </w:r>
      <w:r>
        <w:rPr>
          <w:rFonts w:ascii="Times New Roman" w:hAnsi="Times New Roman"/>
          <w:i/>
          <w:iCs/>
          <w:sz w:val="24"/>
        </w:rPr>
        <w:t>AeMC</w:t>
      </w:r>
      <w:r>
        <w:rPr>
          <w:rFonts w:ascii="Times New Roman" w:hAnsi="Times New Roman"/>
          <w:sz w:val="24"/>
        </w:rPr>
        <w:t xml:space="preserve"> vai AMPV ir jāveic sirds un asinsvadu novērtējums tiem pretendentiem, kuriem </w:t>
      </w:r>
      <w:r>
        <w:rPr>
          <w:rFonts w:ascii="Times New Roman" w:hAnsi="Times New Roman"/>
          <w:color w:val="000000"/>
          <w:sz w:val="24"/>
          <w:highlight w:val="cyan"/>
        </w:rPr>
        <w:t>ir divi vai</w:t>
      </w:r>
      <w:r>
        <w:rPr>
          <w:rFonts w:ascii="Times New Roman" w:hAnsi="Times New Roman"/>
          <w:sz w:val="24"/>
        </w:rPr>
        <w:t xml:space="preserve"> vairāki riska faktori</w:t>
      </w:r>
      <w:r w:rsidR="00F21BA8">
        <w:rPr>
          <w:rFonts w:ascii="Times New Roman" w:hAnsi="Times New Roman"/>
          <w:sz w:val="24"/>
        </w:rPr>
        <w:t xml:space="preserve"> </w:t>
      </w:r>
      <w:r>
        <w:rPr>
          <w:rFonts w:ascii="Times New Roman" w:hAnsi="Times New Roman"/>
          <w:strike/>
          <w:color w:val="FF0000"/>
          <w:sz w:val="24"/>
        </w:rPr>
        <w:t>(smēķēšana, iedzimtība, lipīdu anomālija, arteriālā hipertensija u. c.)</w:t>
      </w:r>
      <w:r>
        <w:rPr>
          <w:rFonts w:ascii="Times New Roman" w:hAnsi="Times New Roman"/>
          <w:sz w:val="24"/>
        </w:rPr>
        <w:t>, vajadzības gadījumā apspriežoties ar sertificēšanas iestādes medicīnas ekspertu.</w:t>
      </w:r>
    </w:p>
    <w:p w14:paraId="7A8AB027" w14:textId="007AC371" w:rsidR="007E5128" w:rsidRPr="00395802" w:rsidRDefault="00060553" w:rsidP="000C4588">
      <w:pPr>
        <w:spacing w:before="120"/>
        <w:ind w:left="993" w:hanging="426"/>
        <w:jc w:val="both"/>
        <w:rPr>
          <w:rFonts w:ascii="Times New Roman" w:hAnsi="Times New Roman"/>
          <w:noProof/>
          <w:color w:val="000000"/>
          <w:sz w:val="24"/>
        </w:rPr>
      </w:pPr>
      <w:r>
        <w:rPr>
          <w:rFonts w:ascii="Times New Roman" w:hAnsi="Times New Roman"/>
          <w:color w:val="000000"/>
          <w:sz w:val="24"/>
        </w:rPr>
        <w:t xml:space="preserve">iii) </w:t>
      </w:r>
      <w:r>
        <w:rPr>
          <w:rFonts w:ascii="Times New Roman" w:hAnsi="Times New Roman"/>
          <w:color w:val="000000"/>
          <w:sz w:val="24"/>
          <w:highlight w:val="cyan"/>
        </w:rPr>
        <w:t>Kardiovaskulārā riska faktoru novērtējums jāveic, izmantojot riska kalkulatorus, kas ir piemēroti mērķa grupai, un ņemot vērā jaunākās vadlīnijas par sirds un asinsvadu slimību profilaksi.</w:t>
      </w:r>
    </w:p>
    <w:p w14:paraId="3594B4E4" w14:textId="2CFC50C2" w:rsidR="007E5128" w:rsidRPr="00395802" w:rsidRDefault="006C08D7" w:rsidP="000C4588">
      <w:pPr>
        <w:spacing w:before="120"/>
        <w:ind w:left="993" w:hanging="426"/>
        <w:jc w:val="both"/>
        <w:rPr>
          <w:rFonts w:ascii="Times New Roman" w:hAnsi="Times New Roman"/>
          <w:noProof/>
          <w:color w:val="000000"/>
          <w:sz w:val="24"/>
        </w:rPr>
      </w:pPr>
      <w:r>
        <w:rPr>
          <w:rFonts w:ascii="Times New Roman" w:hAnsi="Times New Roman"/>
          <w:color w:val="000000"/>
          <w:sz w:val="24"/>
          <w:highlight w:val="cyan"/>
        </w:rPr>
        <w:t>iv) Kardiovaskulārā riska faktoru novērtējums jāveic vismaz vienu reizi 5 gados 40–49 gadus veciem pretendentiem, vienu reizi 3 gados 50–59 gadus veciem pretendentiem un vienu reizi 2 gados vecākiem pretendentiem. Ja riska faktori ir identificēti, var apsvērt biežāku kardiovaskulārā riska faktoru novērtēšanu.</w:t>
      </w:r>
    </w:p>
    <w:p w14:paraId="42793959" w14:textId="77777777" w:rsidR="006C08D7" w:rsidRDefault="006C08D7" w:rsidP="00395802">
      <w:pPr>
        <w:jc w:val="both"/>
        <w:rPr>
          <w:rFonts w:ascii="Times New Roman" w:hAnsi="Times New Roman"/>
          <w:noProof/>
          <w:sz w:val="24"/>
        </w:rPr>
      </w:pPr>
    </w:p>
    <w:p w14:paraId="24EC57E3" w14:textId="46699D92" w:rsidR="007E5128" w:rsidRPr="00395802" w:rsidRDefault="006C08D7" w:rsidP="006C08D7">
      <w:pPr>
        <w:ind w:left="284"/>
        <w:jc w:val="both"/>
        <w:rPr>
          <w:rFonts w:ascii="Times New Roman" w:hAnsi="Times New Roman"/>
          <w:noProof/>
          <w:sz w:val="24"/>
        </w:rPr>
      </w:pPr>
      <w:r>
        <w:rPr>
          <w:rFonts w:ascii="Times New Roman" w:hAnsi="Times New Roman"/>
          <w:sz w:val="24"/>
        </w:rPr>
        <w:t>2) Sirds un asinsvadu novērtējums</w:t>
      </w:r>
    </w:p>
    <w:p w14:paraId="19F456C4" w14:textId="4BED6FD8" w:rsidR="007E5128" w:rsidRPr="00395802" w:rsidRDefault="006C08D7" w:rsidP="00F21BA8">
      <w:pPr>
        <w:spacing w:before="120"/>
        <w:ind w:left="993" w:hanging="425"/>
        <w:jc w:val="both"/>
        <w:rPr>
          <w:rFonts w:ascii="Times New Roman" w:hAnsi="Times New Roman"/>
          <w:noProof/>
          <w:sz w:val="24"/>
        </w:rPr>
      </w:pPr>
      <w:r>
        <w:rPr>
          <w:rFonts w:ascii="Times New Roman" w:hAnsi="Times New Roman"/>
          <w:sz w:val="24"/>
        </w:rPr>
        <w:t>i) AMPV vai akreditētam speciālistam ir jāreģistrē elektrokardiogrāfijas rezultāti miera un fiziskas slodzes stāvokļos.</w:t>
      </w:r>
    </w:p>
    <w:p w14:paraId="4DB152A0" w14:textId="23C85114" w:rsidR="007E5128" w:rsidRPr="00395802" w:rsidRDefault="006C08D7" w:rsidP="00F21BA8">
      <w:pPr>
        <w:spacing w:before="120"/>
        <w:ind w:left="993" w:hanging="425"/>
        <w:jc w:val="both"/>
        <w:rPr>
          <w:rFonts w:ascii="Times New Roman" w:hAnsi="Times New Roman"/>
          <w:noProof/>
          <w:sz w:val="24"/>
        </w:rPr>
      </w:pPr>
      <w:r>
        <w:rPr>
          <w:rFonts w:ascii="Times New Roman" w:hAnsi="Times New Roman"/>
          <w:sz w:val="24"/>
        </w:rPr>
        <w:t xml:space="preserve">ii) Padziļināts sirds un asinsvadu novērtējums jāveic </w:t>
      </w:r>
      <w:r>
        <w:rPr>
          <w:rFonts w:ascii="Times New Roman" w:hAnsi="Times New Roman"/>
          <w:i/>
          <w:iCs/>
          <w:sz w:val="24"/>
        </w:rPr>
        <w:t>AeMC</w:t>
      </w:r>
      <w:r>
        <w:rPr>
          <w:rFonts w:ascii="Times New Roman" w:hAnsi="Times New Roman"/>
          <w:sz w:val="24"/>
        </w:rPr>
        <w:t>, vai to var deleģēt kardiologam.</w:t>
      </w:r>
    </w:p>
    <w:p w14:paraId="6E824704" w14:textId="28BD5CDB" w:rsidR="007E5128" w:rsidRPr="00395802" w:rsidRDefault="0033615B" w:rsidP="00F21BA8">
      <w:pPr>
        <w:spacing w:before="120"/>
        <w:ind w:left="993"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iii) Pretendentu, kas iesaistīti vienpilota </w:t>
      </w:r>
      <w:r>
        <w:rPr>
          <w:rFonts w:ascii="Times New Roman" w:hAnsi="Times New Roman"/>
          <w:i/>
          <w:iCs/>
          <w:color w:val="000000"/>
          <w:sz w:val="24"/>
          <w:highlight w:val="cyan"/>
        </w:rPr>
        <w:t>HEMS</w:t>
      </w:r>
      <w:r>
        <w:rPr>
          <w:rFonts w:ascii="Times New Roman" w:hAnsi="Times New Roman"/>
          <w:color w:val="000000"/>
          <w:sz w:val="24"/>
          <w:highlight w:val="cyan"/>
        </w:rPr>
        <w:t xml:space="preserve"> ekspluatācijā un ir sasnieguši 60 gadu vecumu, padziļinātajā sirds un asinsvadu novērtējumā jāiekļauj vismaz šādi elementi:</w:t>
      </w:r>
    </w:p>
    <w:p w14:paraId="16EB5466" w14:textId="1F2BC7A5" w:rsidR="007E5128" w:rsidRPr="00395802" w:rsidRDefault="00EF01E5" w:rsidP="00F21BA8">
      <w:pPr>
        <w:spacing w:before="120"/>
        <w:ind w:left="1418" w:hanging="425"/>
        <w:jc w:val="both"/>
        <w:rPr>
          <w:rFonts w:ascii="Times New Roman" w:hAnsi="Times New Roman"/>
          <w:noProof/>
          <w:color w:val="000000"/>
          <w:sz w:val="24"/>
        </w:rPr>
      </w:pPr>
      <w:r>
        <w:rPr>
          <w:rFonts w:ascii="Times New Roman" w:hAnsi="Times New Roman"/>
          <w:color w:val="000000"/>
          <w:sz w:val="24"/>
          <w:highlight w:val="cyan"/>
        </w:rPr>
        <w:lastRenderedPageBreak/>
        <w:t>A) EKG miera stāvoklī;</w:t>
      </w:r>
    </w:p>
    <w:p w14:paraId="5D118EEA" w14:textId="0B56B961" w:rsidR="007E5128" w:rsidRPr="00395802" w:rsidRDefault="00EF01E5" w:rsidP="00F21BA8">
      <w:pPr>
        <w:spacing w:before="120"/>
        <w:ind w:left="1418" w:hanging="425"/>
        <w:jc w:val="both"/>
        <w:rPr>
          <w:rFonts w:ascii="Times New Roman" w:hAnsi="Times New Roman"/>
          <w:noProof/>
          <w:color w:val="000000"/>
          <w:sz w:val="24"/>
        </w:rPr>
      </w:pPr>
      <w:r>
        <w:rPr>
          <w:rFonts w:ascii="Times New Roman" w:hAnsi="Times New Roman"/>
          <w:color w:val="000000"/>
          <w:sz w:val="24"/>
          <w:highlight w:val="cyan"/>
        </w:rPr>
        <w:t>B) EKG fiziskas slodzes laikā;</w:t>
      </w:r>
    </w:p>
    <w:p w14:paraId="05A49A40" w14:textId="550FAAC7" w:rsidR="007E5128" w:rsidRPr="00395802" w:rsidRDefault="000E5D2B" w:rsidP="00F21BA8">
      <w:pPr>
        <w:spacing w:before="120"/>
        <w:ind w:left="1418" w:hanging="425"/>
        <w:jc w:val="both"/>
        <w:rPr>
          <w:rFonts w:ascii="Times New Roman" w:hAnsi="Times New Roman"/>
          <w:noProof/>
          <w:color w:val="000000"/>
          <w:sz w:val="24"/>
        </w:rPr>
      </w:pPr>
      <w:r>
        <w:rPr>
          <w:rFonts w:ascii="Times New Roman" w:hAnsi="Times New Roman"/>
          <w:color w:val="000000"/>
          <w:sz w:val="24"/>
          <w:highlight w:val="cyan"/>
        </w:rPr>
        <w:t>C) lipīdu līmenis asins serumā;</w:t>
      </w:r>
    </w:p>
    <w:p w14:paraId="16BE4AAA" w14:textId="1C75D138" w:rsidR="007E5128" w:rsidRPr="00395802" w:rsidRDefault="000E5D2B" w:rsidP="00F21BA8">
      <w:pPr>
        <w:spacing w:before="120"/>
        <w:ind w:left="1418" w:hanging="425"/>
        <w:jc w:val="both"/>
        <w:rPr>
          <w:rFonts w:ascii="Times New Roman" w:hAnsi="Times New Roman"/>
          <w:noProof/>
          <w:color w:val="000000"/>
          <w:sz w:val="24"/>
        </w:rPr>
      </w:pPr>
      <w:r>
        <w:rPr>
          <w:rFonts w:ascii="Times New Roman" w:hAnsi="Times New Roman"/>
          <w:color w:val="000000"/>
          <w:sz w:val="24"/>
          <w:highlight w:val="cyan"/>
        </w:rPr>
        <w:t>D) glikolizētā hemoglobīna tests (HbA1c);</w:t>
      </w:r>
    </w:p>
    <w:p w14:paraId="1D432531" w14:textId="07959232" w:rsidR="007E5128" w:rsidRPr="00395802" w:rsidRDefault="000E5D2B" w:rsidP="00F21BA8">
      <w:pPr>
        <w:spacing w:before="120"/>
        <w:ind w:left="1418" w:hanging="425"/>
        <w:jc w:val="both"/>
        <w:rPr>
          <w:rFonts w:ascii="Times New Roman" w:hAnsi="Times New Roman"/>
          <w:noProof/>
          <w:color w:val="000000"/>
          <w:sz w:val="24"/>
        </w:rPr>
      </w:pPr>
      <w:r>
        <w:rPr>
          <w:rFonts w:ascii="Times New Roman" w:hAnsi="Times New Roman"/>
          <w:color w:val="000000"/>
          <w:sz w:val="24"/>
          <w:highlight w:val="cyan"/>
        </w:rPr>
        <w:t>E) ehokardiogrāfija;</w:t>
      </w:r>
    </w:p>
    <w:p w14:paraId="33F67C94" w14:textId="261AA2EE" w:rsidR="007E5128" w:rsidRPr="00395802" w:rsidRDefault="000E5D2B" w:rsidP="00F21BA8">
      <w:pPr>
        <w:spacing w:before="120"/>
        <w:ind w:left="1418" w:hanging="425"/>
        <w:jc w:val="both"/>
        <w:rPr>
          <w:rFonts w:ascii="Times New Roman" w:hAnsi="Times New Roman"/>
          <w:noProof/>
          <w:color w:val="000000"/>
          <w:sz w:val="24"/>
        </w:rPr>
      </w:pPr>
      <w:r>
        <w:rPr>
          <w:rFonts w:ascii="Times New Roman" w:hAnsi="Times New Roman"/>
          <w:color w:val="000000"/>
          <w:sz w:val="24"/>
          <w:highlight w:val="cyan"/>
        </w:rPr>
        <w:t>F) miega artēriju doplerogrāfija, un klīniskās indikācijas gadījumā var aplūkot krūšu aortu vai vēdera aortu.</w:t>
      </w:r>
    </w:p>
    <w:p w14:paraId="095D27A7" w14:textId="77777777" w:rsidR="00983206" w:rsidRPr="00395802" w:rsidRDefault="00983206" w:rsidP="00983206">
      <w:pPr>
        <w:jc w:val="both"/>
        <w:rPr>
          <w:rFonts w:ascii="Times New Roman" w:hAnsi="Times New Roman"/>
          <w:noProof/>
          <w:sz w:val="24"/>
        </w:rPr>
      </w:pPr>
      <w:r>
        <w:rPr>
          <w:rFonts w:ascii="Times New Roman" w:hAnsi="Times New Roman"/>
          <w:sz w:val="24"/>
        </w:rPr>
        <w:t>(..)</w:t>
      </w:r>
    </w:p>
    <w:p w14:paraId="19004EA8" w14:textId="77777777" w:rsidR="00395802" w:rsidRPr="00395802" w:rsidRDefault="00395802" w:rsidP="00395802">
      <w:pPr>
        <w:jc w:val="both"/>
        <w:rPr>
          <w:rFonts w:ascii="Times New Roman" w:hAnsi="Times New Roman"/>
          <w:noProof/>
          <w:color w:val="00000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2773B324" w14:textId="77777777" w:rsidTr="009B69BF">
        <w:trPr>
          <w:trHeight w:val="522"/>
        </w:trPr>
        <w:tc>
          <w:tcPr>
            <w:tcW w:w="2488" w:type="pct"/>
            <w:tcBorders>
              <w:bottom w:val="nil"/>
              <w:right w:val="nil"/>
            </w:tcBorders>
          </w:tcPr>
          <w:p w14:paraId="712F332E" w14:textId="77777777" w:rsidR="007E5128" w:rsidRPr="00395802" w:rsidRDefault="007E5128" w:rsidP="00F21BA8">
            <w:pPr>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3ACB61CC" w14:textId="77777777" w:rsidR="007E5128" w:rsidRPr="00395802" w:rsidRDefault="007E5128" w:rsidP="00F21BA8">
            <w:pPr>
              <w:ind w:left="57" w:right="57"/>
              <w:jc w:val="right"/>
              <w:rPr>
                <w:rFonts w:ascii="Times New Roman" w:hAnsi="Times New Roman"/>
                <w:i/>
                <w:noProof/>
                <w:sz w:val="24"/>
              </w:rPr>
            </w:pPr>
            <w:r>
              <w:rPr>
                <w:rFonts w:ascii="Times New Roman" w:hAnsi="Times New Roman"/>
                <w:i/>
                <w:sz w:val="24"/>
              </w:rPr>
              <w:t>RMT.0287.</w:t>
            </w:r>
          </w:p>
        </w:tc>
      </w:tr>
      <w:tr w:rsidR="007E5128" w:rsidRPr="00395802" w14:paraId="1514DBCD" w14:textId="77777777" w:rsidTr="009B69BF">
        <w:trPr>
          <w:trHeight w:val="1643"/>
        </w:trPr>
        <w:tc>
          <w:tcPr>
            <w:tcW w:w="5000" w:type="pct"/>
            <w:gridSpan w:val="2"/>
            <w:tcBorders>
              <w:top w:val="nil"/>
            </w:tcBorders>
          </w:tcPr>
          <w:p w14:paraId="1CAC325D" w14:textId="77777777" w:rsidR="007E5128" w:rsidRPr="00395802" w:rsidRDefault="007E5128" w:rsidP="00F21BA8">
            <w:pPr>
              <w:spacing w:after="120"/>
              <w:ind w:left="57" w:right="57"/>
              <w:jc w:val="both"/>
              <w:rPr>
                <w:rFonts w:ascii="Times New Roman" w:hAnsi="Times New Roman"/>
                <w:noProof/>
                <w:sz w:val="24"/>
              </w:rPr>
            </w:pPr>
            <w:r>
              <w:rPr>
                <w:rFonts w:ascii="Times New Roman" w:hAnsi="Times New Roman"/>
                <w:sz w:val="24"/>
              </w:rPr>
              <w:t xml:space="preserve">Pētījumā par pilota vecuma ierobežojumiem tika apsvērts tas, ka pilota vecuma ierobežojuma pagarināšana atsevišķiem vienpilota ekspluatācijas veidiem ir iespējama, ja ir ieviesti riska mazināšanas pasākumi. Pamatojoties uz pētījuma ieteikumiem un diskusijām Medicīnas ekspertu grupā (MEG), šie </w:t>
            </w:r>
            <w:r>
              <w:rPr>
                <w:rFonts w:ascii="Times New Roman" w:hAnsi="Times New Roman"/>
                <w:i/>
                <w:iCs/>
                <w:sz w:val="24"/>
              </w:rPr>
              <w:t>AMC</w:t>
            </w:r>
            <w:r>
              <w:rPr>
                <w:rFonts w:ascii="Times New Roman" w:hAnsi="Times New Roman"/>
                <w:sz w:val="24"/>
              </w:rPr>
              <w:t xml:space="preserve"> tika atjaunināti, lai precizētu padziļinātā sirds un asinsvadu novērtējuma saturu, kā arī riska kalkulatoru veidu un regulārās kardiovaskulārā riska faktoru novērtēšanas intervālus.</w:t>
            </w:r>
          </w:p>
        </w:tc>
      </w:tr>
    </w:tbl>
    <w:p w14:paraId="5C40FBEC" w14:textId="77777777" w:rsidR="007E5128" w:rsidRPr="00395802" w:rsidRDefault="007E5128" w:rsidP="00395802">
      <w:pPr>
        <w:jc w:val="both"/>
        <w:rPr>
          <w:rFonts w:ascii="Times New Roman" w:hAnsi="Times New Roman"/>
          <w:noProof/>
          <w:sz w:val="24"/>
        </w:rPr>
      </w:pPr>
    </w:p>
    <w:p w14:paraId="440D6C45" w14:textId="09B69631" w:rsidR="007E5128" w:rsidRPr="007D2235" w:rsidRDefault="007E5128" w:rsidP="00765684">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AMC2 par MED.B.010. punktu “Sirds un asinsvadu sistēma”</w:t>
      </w:r>
    </w:p>
    <w:p w14:paraId="5B86F71F" w14:textId="77777777" w:rsidR="00765684" w:rsidRDefault="00765684" w:rsidP="00395802">
      <w:pPr>
        <w:jc w:val="both"/>
        <w:rPr>
          <w:rFonts w:ascii="Times New Roman" w:hAnsi="Times New Roman"/>
          <w:noProof/>
          <w:sz w:val="24"/>
        </w:rPr>
      </w:pPr>
    </w:p>
    <w:p w14:paraId="51FF5D3F" w14:textId="5D031D46" w:rsidR="007E5128" w:rsidRPr="00395802" w:rsidRDefault="007E5128" w:rsidP="00395802">
      <w:pPr>
        <w:jc w:val="both"/>
        <w:rPr>
          <w:rFonts w:ascii="Times New Roman" w:hAnsi="Times New Roman"/>
          <w:noProof/>
          <w:sz w:val="24"/>
        </w:rPr>
      </w:pPr>
      <w:r>
        <w:rPr>
          <w:rFonts w:ascii="Times New Roman" w:hAnsi="Times New Roman"/>
          <w:sz w:val="24"/>
        </w:rPr>
        <w:t>(..)</w:t>
      </w:r>
    </w:p>
    <w:p w14:paraId="54ACBCB3" w14:textId="77777777" w:rsidR="00765684" w:rsidRDefault="00765684" w:rsidP="00395802">
      <w:pPr>
        <w:jc w:val="both"/>
        <w:rPr>
          <w:rFonts w:ascii="Times New Roman" w:hAnsi="Times New Roman"/>
          <w:noProof/>
          <w:sz w:val="24"/>
        </w:rPr>
      </w:pPr>
    </w:p>
    <w:p w14:paraId="4CA90CFB" w14:textId="509BF82B" w:rsidR="007E5128" w:rsidRPr="00395802" w:rsidRDefault="00E83C3A" w:rsidP="00395802">
      <w:pPr>
        <w:jc w:val="both"/>
        <w:rPr>
          <w:rFonts w:ascii="Times New Roman" w:hAnsi="Times New Roman"/>
          <w:noProof/>
          <w:sz w:val="24"/>
        </w:rPr>
      </w:pPr>
      <w:r>
        <w:rPr>
          <w:rFonts w:ascii="Times New Roman" w:hAnsi="Times New Roman"/>
          <w:sz w:val="24"/>
        </w:rPr>
        <w:t>b) Vispārīgās prasības</w:t>
      </w:r>
    </w:p>
    <w:p w14:paraId="0C63E3E3" w14:textId="64BFF94B" w:rsidR="007E5128" w:rsidRPr="00395802" w:rsidRDefault="00EB0A35" w:rsidP="00F21BA8">
      <w:pPr>
        <w:spacing w:before="120"/>
        <w:ind w:left="284"/>
        <w:jc w:val="both"/>
        <w:rPr>
          <w:rFonts w:ascii="Times New Roman" w:hAnsi="Times New Roman"/>
          <w:noProof/>
          <w:sz w:val="24"/>
        </w:rPr>
      </w:pPr>
      <w:r>
        <w:rPr>
          <w:rFonts w:ascii="Times New Roman" w:hAnsi="Times New Roman"/>
          <w:sz w:val="24"/>
        </w:rPr>
        <w:t>1) Kardiovaskulārā riska faktoru novērtējums</w:t>
      </w:r>
    </w:p>
    <w:p w14:paraId="6F2A21C0" w14:textId="77777777" w:rsidR="007E5128" w:rsidRPr="00395802" w:rsidRDefault="007E5128" w:rsidP="00F21BA8">
      <w:pPr>
        <w:spacing w:before="120"/>
        <w:ind w:left="709"/>
        <w:jc w:val="both"/>
        <w:rPr>
          <w:rFonts w:ascii="Times New Roman" w:hAnsi="Times New Roman"/>
          <w:noProof/>
          <w:color w:val="000000"/>
          <w:sz w:val="24"/>
        </w:rPr>
      </w:pPr>
      <w:r>
        <w:rPr>
          <w:rFonts w:ascii="Times New Roman" w:hAnsi="Times New Roman"/>
          <w:color w:val="000000"/>
          <w:sz w:val="24"/>
          <w:highlight w:val="cyan"/>
        </w:rPr>
        <w:t>Kardiovaskulārā riska faktoru novērtējums jāveic vismaz vienu reizi 5 gados 40–59 gadus veciem pretendentiem un vienu reizi 2 gados vecākiem pretendentiem. Ja riska faktori ir identificēti, var apsvērt biežāku kardiovaskulāro faktoru novērtēšanu.</w:t>
      </w:r>
    </w:p>
    <w:p w14:paraId="3E5DBBFC" w14:textId="77777777" w:rsidR="007E5128" w:rsidRPr="00395802" w:rsidRDefault="007E5128" w:rsidP="00F21BA8">
      <w:pPr>
        <w:spacing w:before="120"/>
        <w:ind w:left="709"/>
        <w:jc w:val="both"/>
        <w:rPr>
          <w:rFonts w:ascii="Times New Roman" w:hAnsi="Times New Roman"/>
          <w:noProof/>
          <w:color w:val="000000"/>
          <w:sz w:val="24"/>
        </w:rPr>
      </w:pPr>
      <w:r>
        <w:rPr>
          <w:rFonts w:ascii="Times New Roman" w:hAnsi="Times New Roman"/>
          <w:i/>
          <w:iCs/>
          <w:sz w:val="24"/>
        </w:rPr>
        <w:t>AeMC</w:t>
      </w:r>
      <w:r>
        <w:rPr>
          <w:rFonts w:ascii="Times New Roman" w:hAnsi="Times New Roman"/>
          <w:sz w:val="24"/>
        </w:rPr>
        <w:t xml:space="preserve"> vai AMPV ir jāveic sirds un asinsvadu novērtējums tiem pretendentiem, kuriem </w:t>
      </w:r>
      <w:r>
        <w:rPr>
          <w:rFonts w:ascii="Times New Roman" w:hAnsi="Times New Roman"/>
          <w:color w:val="000000"/>
          <w:sz w:val="24"/>
          <w:highlight w:val="cyan"/>
        </w:rPr>
        <w:t>ir divi vai</w:t>
      </w:r>
      <w:r>
        <w:rPr>
          <w:rFonts w:ascii="Times New Roman" w:hAnsi="Times New Roman"/>
          <w:sz w:val="24"/>
        </w:rPr>
        <w:t xml:space="preserve"> vairāki riska faktori</w:t>
      </w:r>
      <w:r>
        <w:rPr>
          <w:rFonts w:ascii="Times New Roman" w:hAnsi="Times New Roman"/>
          <w:strike/>
          <w:color w:val="FF0000"/>
          <w:sz w:val="24"/>
        </w:rPr>
        <w:t>(smēķēšana, iedzimtība, lipīdu anomālija, arteriālā hipertensija u. c.)</w:t>
      </w:r>
      <w:r>
        <w:rPr>
          <w:rFonts w:ascii="Times New Roman" w:hAnsi="Times New Roman"/>
          <w:sz w:val="24"/>
        </w:rPr>
        <w:t>.</w:t>
      </w:r>
    </w:p>
    <w:p w14:paraId="2D01887E" w14:textId="0F78FA63" w:rsidR="007E5128" w:rsidRPr="00395802" w:rsidRDefault="00723AC2" w:rsidP="00F21BA8">
      <w:pPr>
        <w:spacing w:before="120"/>
        <w:ind w:left="284"/>
        <w:jc w:val="both"/>
        <w:rPr>
          <w:rFonts w:ascii="Times New Roman" w:hAnsi="Times New Roman"/>
          <w:noProof/>
          <w:sz w:val="24"/>
        </w:rPr>
      </w:pPr>
      <w:r>
        <w:rPr>
          <w:rFonts w:ascii="Times New Roman" w:hAnsi="Times New Roman"/>
          <w:sz w:val="24"/>
        </w:rPr>
        <w:t>2) Sirds un asinsvadu novērtējums</w:t>
      </w:r>
    </w:p>
    <w:p w14:paraId="2EDE0A5D" w14:textId="77777777" w:rsidR="007E5128" w:rsidRPr="00395802" w:rsidRDefault="007E5128" w:rsidP="00F21BA8">
      <w:pPr>
        <w:spacing w:before="120"/>
        <w:ind w:left="709"/>
        <w:jc w:val="both"/>
        <w:rPr>
          <w:rFonts w:ascii="Times New Roman" w:hAnsi="Times New Roman"/>
          <w:noProof/>
          <w:sz w:val="24"/>
        </w:rPr>
      </w:pPr>
      <w:r>
        <w:rPr>
          <w:rFonts w:ascii="Times New Roman" w:hAnsi="Times New Roman"/>
          <w:sz w:val="24"/>
        </w:rPr>
        <w:t>AMPV vai akreditētam speciālistam ir jāreģistrē elektrokardiogrāfijas rezultāti miera un fiziskas slodzes stāvokļos.</w:t>
      </w:r>
    </w:p>
    <w:p w14:paraId="0EAA2392" w14:textId="77777777" w:rsidR="009151EE" w:rsidRDefault="009151EE" w:rsidP="00395802">
      <w:pPr>
        <w:jc w:val="both"/>
        <w:rPr>
          <w:rFonts w:ascii="Times New Roman" w:hAnsi="Times New Roman"/>
          <w:noProof/>
          <w:sz w:val="24"/>
        </w:rPr>
      </w:pPr>
    </w:p>
    <w:p w14:paraId="17405B4B" w14:textId="6B17E49C" w:rsidR="007E5128" w:rsidRPr="00395802" w:rsidRDefault="007E5128" w:rsidP="00395802">
      <w:pPr>
        <w:jc w:val="both"/>
        <w:rPr>
          <w:rFonts w:ascii="Times New Roman" w:hAnsi="Times New Roman"/>
          <w:noProof/>
          <w:sz w:val="24"/>
        </w:rPr>
      </w:pPr>
      <w:r>
        <w:rPr>
          <w:rFonts w:ascii="Times New Roman" w:hAnsi="Times New Roman"/>
          <w:sz w:val="24"/>
        </w:rPr>
        <w:t>(..)</w:t>
      </w:r>
    </w:p>
    <w:p w14:paraId="5417E401" w14:textId="77777777" w:rsidR="009151EE" w:rsidRDefault="009151EE" w:rsidP="00395802">
      <w:pPr>
        <w:jc w:val="both"/>
        <w:rPr>
          <w:rFonts w:ascii="Times New Roman" w:hAnsi="Times New Roman"/>
          <w:noProof/>
          <w:sz w:val="24"/>
        </w:rPr>
      </w:pPr>
    </w:p>
    <w:p w14:paraId="1AFB06FE" w14:textId="49C569BE" w:rsidR="007E5128" w:rsidRPr="00395802" w:rsidRDefault="007E5128" w:rsidP="009151EE">
      <w:pPr>
        <w:ind w:left="284"/>
        <w:jc w:val="both"/>
        <w:rPr>
          <w:rFonts w:ascii="Times New Roman" w:hAnsi="Times New Roman"/>
          <w:noProof/>
          <w:sz w:val="24"/>
        </w:rPr>
      </w:pPr>
      <w:r>
        <w:rPr>
          <w:rFonts w:ascii="Times New Roman" w:hAnsi="Times New Roman"/>
          <w:sz w:val="24"/>
        </w:rPr>
        <w:t>1) Sirds ritma un vadītspējas traucējumi</w:t>
      </w:r>
    </w:p>
    <w:p w14:paraId="256D4356" w14:textId="77777777" w:rsidR="009151EE" w:rsidRDefault="009151EE" w:rsidP="00395802">
      <w:pPr>
        <w:jc w:val="both"/>
        <w:rPr>
          <w:rFonts w:ascii="Times New Roman" w:hAnsi="Times New Roman"/>
          <w:noProof/>
          <w:sz w:val="24"/>
        </w:rPr>
      </w:pPr>
    </w:p>
    <w:p w14:paraId="2B480156" w14:textId="3392E523" w:rsidR="007E5128" w:rsidRPr="00395802" w:rsidRDefault="007E5128" w:rsidP="00395802">
      <w:pPr>
        <w:jc w:val="both"/>
        <w:rPr>
          <w:rFonts w:ascii="Times New Roman" w:hAnsi="Times New Roman"/>
          <w:noProof/>
          <w:sz w:val="24"/>
        </w:rPr>
      </w:pPr>
      <w:r>
        <w:rPr>
          <w:rFonts w:ascii="Times New Roman" w:hAnsi="Times New Roman"/>
          <w:sz w:val="24"/>
        </w:rPr>
        <w:t>(..)</w:t>
      </w:r>
    </w:p>
    <w:p w14:paraId="4E0ECE71" w14:textId="77777777" w:rsidR="009151EE" w:rsidRDefault="009151EE" w:rsidP="00395802">
      <w:pPr>
        <w:jc w:val="both"/>
        <w:rPr>
          <w:rFonts w:ascii="Times New Roman" w:hAnsi="Times New Roman"/>
          <w:noProof/>
          <w:sz w:val="24"/>
        </w:rPr>
      </w:pPr>
    </w:p>
    <w:p w14:paraId="04680987" w14:textId="4D54630C" w:rsidR="007E5128" w:rsidRPr="00395802" w:rsidRDefault="007E5128" w:rsidP="009151EE">
      <w:pPr>
        <w:ind w:left="284"/>
        <w:jc w:val="both"/>
        <w:rPr>
          <w:rFonts w:ascii="Times New Roman" w:hAnsi="Times New Roman"/>
          <w:noProof/>
          <w:sz w:val="24"/>
        </w:rPr>
      </w:pPr>
      <w:r>
        <w:rPr>
          <w:rFonts w:ascii="Times New Roman" w:hAnsi="Times New Roman"/>
          <w:sz w:val="24"/>
        </w:rPr>
        <w:t>6) Pilna Hisa kūlīša labās kājiņas blokāde</w:t>
      </w:r>
    </w:p>
    <w:p w14:paraId="605E24E8" w14:textId="77777777" w:rsidR="00182363" w:rsidRPr="00182363" w:rsidRDefault="00182363" w:rsidP="00FB30C3">
      <w:pPr>
        <w:ind w:left="567"/>
        <w:jc w:val="both"/>
        <w:rPr>
          <w:rFonts w:ascii="Times New Roman" w:hAnsi="Times New Roman"/>
          <w:noProof/>
          <w:sz w:val="24"/>
        </w:rPr>
      </w:pPr>
      <w:r>
        <w:rPr>
          <w:rFonts w:ascii="Times New Roman" w:hAnsi="Times New Roman"/>
          <w:strike/>
          <w:color w:val="FF0000"/>
          <w:sz w:val="24"/>
        </w:rPr>
        <w:t>Pretendentus</w:t>
      </w:r>
      <w:r>
        <w:rPr>
          <w:rFonts w:ascii="Times New Roman" w:hAnsi="Times New Roman"/>
          <w:sz w:val="24"/>
        </w:rPr>
        <w:t xml:space="preserve"> </w:t>
      </w:r>
      <w:r>
        <w:rPr>
          <w:rFonts w:ascii="Times New Roman" w:hAnsi="Times New Roman"/>
          <w:sz w:val="24"/>
          <w:highlight w:val="cyan"/>
        </w:rPr>
        <w:t>Pretendentiem</w:t>
      </w:r>
      <w:r>
        <w:rPr>
          <w:rFonts w:ascii="Times New Roman" w:hAnsi="Times New Roman"/>
          <w:sz w:val="24"/>
        </w:rPr>
        <w:t xml:space="preserve"> ar pilnu Hisa kūlīša labās kājiņas blokādi </w:t>
      </w:r>
      <w:r>
        <w:rPr>
          <w:rFonts w:ascii="Times New Roman" w:hAnsi="Times New Roman"/>
          <w:strike/>
          <w:color w:val="FF0000"/>
          <w:sz w:val="24"/>
        </w:rPr>
        <w:t xml:space="preserve">var atzīt par piemērotiem ar attiecīgiem ierobežojumiem, piemēram ar </w:t>
      </w:r>
      <w:r>
        <w:rPr>
          <w:rFonts w:ascii="Times New Roman" w:hAnsi="Times New Roman"/>
          <w:i/>
          <w:iCs/>
          <w:strike/>
          <w:color w:val="FF0000"/>
          <w:sz w:val="24"/>
        </w:rPr>
        <w:t>ORL</w:t>
      </w:r>
      <w:r>
        <w:rPr>
          <w:rFonts w:ascii="Times New Roman" w:hAnsi="Times New Roman"/>
          <w:strike/>
          <w:color w:val="FF0000"/>
          <w:sz w:val="24"/>
        </w:rPr>
        <w:t>, un pēc apmierinoša kardioloģiskā novērtējuma</w:t>
      </w:r>
      <w:r>
        <w:rPr>
          <w:rFonts w:ascii="Times New Roman" w:hAnsi="Times New Roman"/>
          <w:sz w:val="24"/>
        </w:rPr>
        <w:t xml:space="preserve"> </w:t>
      </w:r>
      <w:r>
        <w:rPr>
          <w:rFonts w:ascii="Times New Roman" w:hAnsi="Times New Roman"/>
          <w:sz w:val="24"/>
          <w:highlight w:val="cyan"/>
        </w:rPr>
        <w:t>pirmā apmeklējuma reizē ir jāiziet kardioloģiskais novērtējums</w:t>
      </w:r>
      <w:r>
        <w:rPr>
          <w:rFonts w:ascii="Times New Roman" w:hAnsi="Times New Roman"/>
          <w:sz w:val="24"/>
        </w:rPr>
        <w:t>.</w:t>
      </w:r>
      <w:r>
        <w:rPr>
          <w:rFonts w:ascii="Times New Roman" w:hAnsi="Times New Roman"/>
          <w:sz w:val="24"/>
          <w:highlight w:val="cyan"/>
        </w:rPr>
        <w:t xml:space="preserve"> Pretendentu piemērotības atzīšanu var apsvērt, ja nav pamatā esošas pataloģijas.</w:t>
      </w:r>
    </w:p>
    <w:p w14:paraId="1D9F8250" w14:textId="77777777" w:rsidR="007E5128" w:rsidRPr="00395802" w:rsidRDefault="007E5128" w:rsidP="00395802">
      <w:pPr>
        <w:jc w:val="both"/>
        <w:rPr>
          <w:rFonts w:ascii="Times New Roman" w:hAnsi="Times New Roman"/>
          <w:noProof/>
          <w:sz w:val="24"/>
        </w:rPr>
      </w:pPr>
    </w:p>
    <w:p w14:paraId="51CBB849" w14:textId="6590004B" w:rsidR="00D2050C" w:rsidRPr="00395802" w:rsidRDefault="007E5128" w:rsidP="00395802">
      <w:pPr>
        <w:jc w:val="both"/>
        <w:rPr>
          <w:rFonts w:ascii="Times New Roman" w:hAnsi="Times New Roman"/>
          <w:noProof/>
          <w:sz w:val="24"/>
        </w:rPr>
      </w:pPr>
      <w:r>
        <w:rPr>
          <w:rFonts w:ascii="Times New Roman" w:hAnsi="Times New Roman"/>
          <w:sz w:val="24"/>
        </w:rPr>
        <w:t>(..)</w:t>
      </w:r>
    </w:p>
    <w:p w14:paraId="2E8558D2" w14:textId="77777777" w:rsidR="007E5128" w:rsidRPr="00395802" w:rsidRDefault="007E5128"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2A43AA95" w14:textId="77777777" w:rsidTr="009B69BF">
        <w:trPr>
          <w:trHeight w:val="520"/>
        </w:trPr>
        <w:tc>
          <w:tcPr>
            <w:tcW w:w="2488" w:type="pct"/>
            <w:tcBorders>
              <w:bottom w:val="nil"/>
              <w:right w:val="nil"/>
            </w:tcBorders>
          </w:tcPr>
          <w:p w14:paraId="4CAD4AF4" w14:textId="52B8CDB3" w:rsidR="007E5128" w:rsidRPr="00395802" w:rsidRDefault="007E5128" w:rsidP="00F21BA8">
            <w:pPr>
              <w:widowControl/>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2F21443D" w14:textId="77777777" w:rsidR="007E5128" w:rsidRPr="00395802" w:rsidRDefault="007E5128" w:rsidP="00F21BA8">
            <w:pPr>
              <w:widowControl/>
              <w:ind w:left="57" w:right="57"/>
              <w:jc w:val="right"/>
              <w:rPr>
                <w:rFonts w:ascii="Times New Roman" w:hAnsi="Times New Roman"/>
                <w:i/>
                <w:noProof/>
                <w:sz w:val="24"/>
              </w:rPr>
            </w:pPr>
            <w:r>
              <w:rPr>
                <w:rFonts w:ascii="Times New Roman" w:hAnsi="Times New Roman"/>
                <w:i/>
                <w:sz w:val="24"/>
              </w:rPr>
              <w:t>RMT.0287.</w:t>
            </w:r>
          </w:p>
        </w:tc>
      </w:tr>
      <w:tr w:rsidR="007E5128" w:rsidRPr="00395802" w14:paraId="7C0CB186" w14:textId="77777777" w:rsidTr="009B69BF">
        <w:trPr>
          <w:trHeight w:val="2044"/>
        </w:trPr>
        <w:tc>
          <w:tcPr>
            <w:tcW w:w="5000" w:type="pct"/>
            <w:gridSpan w:val="2"/>
            <w:tcBorders>
              <w:top w:val="nil"/>
            </w:tcBorders>
          </w:tcPr>
          <w:p w14:paraId="00F3E87B" w14:textId="77777777" w:rsidR="007E5128" w:rsidRPr="00395802" w:rsidRDefault="007E5128" w:rsidP="00F21BA8">
            <w:pPr>
              <w:widowControl/>
              <w:ind w:left="57" w:right="57"/>
              <w:jc w:val="both"/>
              <w:rPr>
                <w:rFonts w:ascii="Times New Roman" w:hAnsi="Times New Roman"/>
                <w:noProof/>
                <w:sz w:val="24"/>
              </w:rPr>
            </w:pPr>
            <w:r>
              <w:rPr>
                <w:rFonts w:ascii="Times New Roman" w:hAnsi="Times New Roman"/>
                <w:sz w:val="24"/>
              </w:rPr>
              <w:t>Nesen pieņemtajās Eiropas Kardiologu biedrības vadlīnijās uzsvērta kardiovaskulārā riska faktoru uzraudzības un agrīnas vadības būtiskā nozīme kardiovaskulāru notikumu novēršanā. Tā var izpausties kā ar sirdi un asinsvadiem saistītas nespējas riska mazināšana. Tāpēc noteikumu sagatavošanas grupa ierosināja precizēt regulārās kardiovaskulārā riska faktoru novērtēšanas intervālus.</w:t>
            </w:r>
          </w:p>
          <w:p w14:paraId="282A5BB3" w14:textId="77777777" w:rsidR="007E5128" w:rsidRPr="00395802" w:rsidRDefault="007E5128" w:rsidP="00F21BA8">
            <w:pPr>
              <w:widowControl/>
              <w:ind w:left="57" w:right="57"/>
              <w:jc w:val="both"/>
              <w:rPr>
                <w:rFonts w:ascii="Times New Roman" w:hAnsi="Times New Roman"/>
                <w:noProof/>
                <w:sz w:val="24"/>
              </w:rPr>
            </w:pPr>
            <w:r>
              <w:rPr>
                <w:rFonts w:ascii="Times New Roman" w:hAnsi="Times New Roman"/>
                <w:sz w:val="24"/>
              </w:rPr>
              <w:t>Turklāt noteikumu sagatavošanas grupa ierosināja labot neatbilstības, kas saistītas ar atbilstības nodrošināšanas līdzekli attiecībā uz 2. klases pretendentiem ar pilnu Hisa kūlīša labās kājiņas blokādi.</w:t>
            </w:r>
          </w:p>
        </w:tc>
      </w:tr>
    </w:tbl>
    <w:p w14:paraId="0E0362AC" w14:textId="77777777" w:rsidR="007E5128" w:rsidRPr="00395802" w:rsidRDefault="007E5128" w:rsidP="00395802">
      <w:pPr>
        <w:jc w:val="both"/>
        <w:rPr>
          <w:rFonts w:ascii="Times New Roman" w:hAnsi="Times New Roman"/>
          <w:noProof/>
          <w:sz w:val="24"/>
        </w:rPr>
      </w:pPr>
    </w:p>
    <w:p w14:paraId="32ED1B74" w14:textId="73CF0D97" w:rsidR="007E5128" w:rsidRPr="0099127D" w:rsidRDefault="007E5128" w:rsidP="00851CD9">
      <w:pPr>
        <w:shd w:val="clear" w:color="auto" w:fill="00B050"/>
        <w:jc w:val="both"/>
        <w:rPr>
          <w:rFonts w:ascii="Times New Roman" w:hAnsi="Times New Roman"/>
          <w:b/>
          <w:bCs/>
          <w:noProof/>
          <w:color w:val="FFFFFF"/>
          <w:sz w:val="28"/>
          <w:szCs w:val="24"/>
          <w:highlight w:val="cyan"/>
        </w:rPr>
      </w:pPr>
      <w:r>
        <w:rPr>
          <w:rFonts w:ascii="Times New Roman" w:hAnsi="Times New Roman"/>
          <w:b/>
          <w:color w:val="FFFFFF"/>
          <w:sz w:val="28"/>
          <w:highlight w:val="cyan"/>
        </w:rPr>
        <w:t>GM1 par MED.B.010. punkta “Sirds un asinsvadu sistēma” b) apakšpunktu</w:t>
      </w:r>
    </w:p>
    <w:p w14:paraId="61EB2444" w14:textId="77777777" w:rsidR="0099561C" w:rsidRDefault="0099561C" w:rsidP="00395802">
      <w:pPr>
        <w:jc w:val="both"/>
        <w:rPr>
          <w:rFonts w:ascii="Times New Roman" w:hAnsi="Times New Roman"/>
          <w:noProof/>
          <w:color w:val="000000"/>
          <w:sz w:val="24"/>
          <w:highlight w:val="cyan"/>
        </w:rPr>
      </w:pPr>
    </w:p>
    <w:p w14:paraId="4D43091B" w14:textId="74E47E6D" w:rsidR="007E5128" w:rsidRPr="00395802" w:rsidRDefault="00851CD9" w:rsidP="00F21BA8">
      <w:pPr>
        <w:spacing w:before="120"/>
        <w:jc w:val="both"/>
        <w:rPr>
          <w:rFonts w:ascii="Times New Roman" w:hAnsi="Times New Roman"/>
          <w:noProof/>
          <w:color w:val="000000"/>
          <w:sz w:val="24"/>
        </w:rPr>
      </w:pPr>
      <w:r>
        <w:rPr>
          <w:rFonts w:ascii="Times New Roman" w:hAnsi="Times New Roman"/>
          <w:color w:val="000000"/>
          <w:sz w:val="24"/>
          <w:highlight w:val="cyan"/>
        </w:rPr>
        <w:t>a) Sirds un asinsvadu riska faktoru novērtējums</w:t>
      </w:r>
    </w:p>
    <w:p w14:paraId="1FC13417" w14:textId="77777777" w:rsidR="007E5128" w:rsidRPr="00851CD9" w:rsidRDefault="007E5128" w:rsidP="00F21BA8">
      <w:pPr>
        <w:spacing w:before="120"/>
        <w:ind w:left="284"/>
        <w:jc w:val="both"/>
        <w:rPr>
          <w:rFonts w:ascii="Times New Roman" w:hAnsi="Times New Roman"/>
          <w:noProof/>
          <w:color w:val="000000"/>
          <w:sz w:val="24"/>
          <w:highlight w:val="cyan"/>
        </w:rPr>
      </w:pPr>
      <w:r>
        <w:rPr>
          <w:rFonts w:ascii="Times New Roman" w:hAnsi="Times New Roman"/>
          <w:color w:val="000000"/>
          <w:sz w:val="24"/>
          <w:highlight w:val="cyan"/>
        </w:rPr>
        <w:t xml:space="preserve">Riska kalkulators ir veidots kā vienādojums ar regresijas koeficientiem par katru iekļauto riska faktoru, pamatojoties uz noteikta reģiona iedzīvotāju datu statistisko analīzi, lai iegūtu aptuvenu riska aprēķinu. Riska kalkulatoram, ko paredzēts izmantot </w:t>
      </w:r>
      <w:r>
        <w:rPr>
          <w:rFonts w:ascii="Times New Roman" w:hAnsi="Times New Roman"/>
          <w:i/>
          <w:iCs/>
          <w:color w:val="000000"/>
          <w:sz w:val="24"/>
          <w:highlight w:val="cyan"/>
        </w:rPr>
        <w:t>CAT</w:t>
      </w:r>
      <w:r>
        <w:rPr>
          <w:rFonts w:ascii="Times New Roman" w:hAnsi="Times New Roman"/>
          <w:color w:val="000000"/>
          <w:sz w:val="24"/>
          <w:highlight w:val="cyan"/>
        </w:rPr>
        <w:t xml:space="preserve"> pilotu skrīningam, jābūt piemērotam pārbaudāmo pilotu etniskajai izcelsmei un jāprognozē neletālu notikumu risks 5–10 gadu laikā, piemēram, akūta koronārā sindroma vai insulta risks, kā arī letālu kardiālu notikumu risks, jo abi notikumu veidi var izraisīt pilnīgu rīcībnespēju lidojuma laikā.</w:t>
      </w:r>
    </w:p>
    <w:p w14:paraId="51F823AE" w14:textId="77777777" w:rsidR="007E5128" w:rsidRPr="00395802" w:rsidRDefault="007E5128" w:rsidP="00F21BA8">
      <w:pPr>
        <w:spacing w:before="120"/>
        <w:ind w:left="284"/>
        <w:jc w:val="both"/>
        <w:rPr>
          <w:rFonts w:ascii="Times New Roman" w:hAnsi="Times New Roman"/>
          <w:noProof/>
          <w:color w:val="000000"/>
          <w:sz w:val="24"/>
        </w:rPr>
      </w:pPr>
      <w:r>
        <w:rPr>
          <w:rFonts w:ascii="Times New Roman" w:hAnsi="Times New Roman"/>
          <w:color w:val="000000"/>
          <w:sz w:val="24"/>
          <w:highlight w:val="cyan"/>
        </w:rPr>
        <w:t xml:space="preserve">Ieteicams izmantot tādu riska aprēķina rīku, kura pamatā ir iedzīvotāju grupas, kas līdzinās jūsu visbiežākajai mērķa grupai. Neviens riska kalkulators nav nevainojams, un lēmums par to, kuri rīki būtu jāizmanto, jāpieņem, izvērtējot katra rīka priekšrocības un trūkumus. Piemēram, visbiežāk lietotie rīki, kuru pamatā ir Eiropas iedzīvotāju kopums, ir: </w:t>
      </w:r>
      <w:r>
        <w:rPr>
          <w:rFonts w:ascii="Times New Roman" w:hAnsi="Times New Roman"/>
          <w:i/>
          <w:iCs/>
          <w:color w:val="000000"/>
          <w:sz w:val="24"/>
          <w:highlight w:val="cyan"/>
        </w:rPr>
        <w:t>SCORE 2</w:t>
      </w:r>
      <w:r>
        <w:rPr>
          <w:rFonts w:ascii="Times New Roman" w:hAnsi="Times New Roman"/>
          <w:color w:val="000000"/>
          <w:sz w:val="24"/>
          <w:highlight w:val="cyan"/>
        </w:rPr>
        <w:t xml:space="preserve">, </w:t>
      </w:r>
      <w:r>
        <w:rPr>
          <w:rFonts w:ascii="Times New Roman" w:hAnsi="Times New Roman"/>
          <w:i/>
          <w:iCs/>
          <w:color w:val="000000"/>
          <w:sz w:val="24"/>
          <w:highlight w:val="cyan"/>
        </w:rPr>
        <w:t>PROCAM</w:t>
      </w:r>
      <w:r>
        <w:rPr>
          <w:rFonts w:ascii="Times New Roman" w:hAnsi="Times New Roman"/>
          <w:color w:val="000000"/>
          <w:sz w:val="24"/>
          <w:highlight w:val="cyan"/>
        </w:rPr>
        <w:t xml:space="preserve">, </w:t>
      </w:r>
      <w:r>
        <w:rPr>
          <w:rFonts w:ascii="Times New Roman" w:hAnsi="Times New Roman"/>
          <w:i/>
          <w:iCs/>
          <w:color w:val="000000"/>
          <w:sz w:val="24"/>
          <w:highlight w:val="cyan"/>
        </w:rPr>
        <w:t>AGLA</w:t>
      </w:r>
      <w:r>
        <w:rPr>
          <w:rFonts w:ascii="Times New Roman" w:hAnsi="Times New Roman"/>
          <w:color w:val="000000"/>
          <w:sz w:val="24"/>
          <w:highlight w:val="cyan"/>
        </w:rPr>
        <w:t xml:space="preserve"> un </w:t>
      </w:r>
      <w:r>
        <w:rPr>
          <w:rFonts w:ascii="Times New Roman" w:hAnsi="Times New Roman"/>
          <w:i/>
          <w:iCs/>
          <w:color w:val="000000"/>
          <w:sz w:val="24"/>
          <w:highlight w:val="cyan"/>
        </w:rPr>
        <w:t>QRISK 3</w:t>
      </w:r>
      <w:r>
        <w:rPr>
          <w:rFonts w:ascii="Times New Roman" w:hAnsi="Times New Roman"/>
          <w:color w:val="000000"/>
          <w:sz w:val="24"/>
          <w:highlight w:val="cyan"/>
        </w:rPr>
        <w:t>.</w:t>
      </w:r>
    </w:p>
    <w:p w14:paraId="60ECF7D6" w14:textId="48B1672C" w:rsidR="00E55D4B" w:rsidRPr="00395802" w:rsidRDefault="00E55D4B" w:rsidP="00F21BA8">
      <w:pPr>
        <w:spacing w:before="120"/>
        <w:ind w:left="284"/>
        <w:jc w:val="both"/>
        <w:rPr>
          <w:rFonts w:ascii="Times New Roman" w:hAnsi="Times New Roman"/>
          <w:noProof/>
          <w:sz w:val="24"/>
        </w:rPr>
      </w:pPr>
      <w:r>
        <w:rPr>
          <w:rFonts w:ascii="Times New Roman" w:hAnsi="Times New Roman"/>
          <w:color w:val="000000"/>
          <w:sz w:val="24"/>
          <w:highlight w:val="cyan"/>
        </w:rPr>
        <w:t xml:space="preserve">AMPV riska novērtējumā pienācīgi jāņem vērā jaunākās publicētās Eiropas Kardiologu biedrības vadlīnijas. Šā dokumenta sagatavošanas laikā jaunākās vadlīnijas ir </w:t>
      </w:r>
      <w:hyperlink r:id="rId12" w:history="1">
        <w:r>
          <w:rPr>
            <w:rStyle w:val="Hyperlink"/>
            <w:rFonts w:ascii="Times New Roman" w:hAnsi="Times New Roman"/>
            <w:sz w:val="24"/>
            <w:highlight w:val="cyan"/>
          </w:rPr>
          <w:t>“2021 ESC Guidelines on cardiovascular disease prevention in clinical practice”</w:t>
        </w:r>
      </w:hyperlink>
      <w:r>
        <w:rPr>
          <w:rFonts w:ascii="Times New Roman" w:hAnsi="Times New Roman"/>
          <w:sz w:val="24"/>
          <w:highlight w:val="cyan"/>
        </w:rPr>
        <w:t xml:space="preserve"> [2021. gada </w:t>
      </w:r>
      <w:r>
        <w:rPr>
          <w:rFonts w:ascii="Times New Roman" w:hAnsi="Times New Roman"/>
          <w:i/>
          <w:iCs/>
          <w:sz w:val="24"/>
          <w:highlight w:val="cyan"/>
        </w:rPr>
        <w:t>ESC</w:t>
      </w:r>
      <w:r>
        <w:rPr>
          <w:rFonts w:ascii="Times New Roman" w:hAnsi="Times New Roman"/>
          <w:sz w:val="24"/>
          <w:highlight w:val="cyan"/>
        </w:rPr>
        <w:t xml:space="preserve"> Vadlīnijas par sirds un asinsvadu slimību profilaksi klīniskajā praksē].</w:t>
      </w:r>
    </w:p>
    <w:p w14:paraId="34D0DD60" w14:textId="7DECA4EE" w:rsidR="00E55D4B" w:rsidRPr="00395802" w:rsidRDefault="00E55D4B" w:rsidP="00395802">
      <w:pPr>
        <w:jc w:val="both"/>
        <w:rPr>
          <w:rFonts w:ascii="Times New Roman" w:hAnsi="Times New Roman"/>
          <w:noProof/>
          <w:color w:val="000000"/>
          <w:sz w:val="24"/>
        </w:rPr>
      </w:pPr>
    </w:p>
    <w:p w14:paraId="6CA63A63" w14:textId="797066B4" w:rsidR="007E5128" w:rsidRPr="00395802" w:rsidRDefault="00F112B2" w:rsidP="00F21BA8">
      <w:pPr>
        <w:spacing w:before="120"/>
        <w:jc w:val="both"/>
        <w:rPr>
          <w:rFonts w:ascii="Times New Roman" w:hAnsi="Times New Roman"/>
          <w:noProof/>
          <w:color w:val="000000"/>
          <w:sz w:val="24"/>
        </w:rPr>
      </w:pPr>
      <w:r>
        <w:rPr>
          <w:rFonts w:ascii="Times New Roman" w:hAnsi="Times New Roman"/>
          <w:color w:val="000000"/>
          <w:sz w:val="24"/>
          <w:highlight w:val="cyan"/>
        </w:rPr>
        <w:t>b) Sirds un asinsvadu novērtējums</w:t>
      </w:r>
    </w:p>
    <w:p w14:paraId="401AEAB7" w14:textId="77777777" w:rsidR="007E5128" w:rsidRPr="00F112B2" w:rsidRDefault="007E5128" w:rsidP="00F21BA8">
      <w:pPr>
        <w:spacing w:before="120"/>
        <w:ind w:left="284"/>
        <w:jc w:val="both"/>
        <w:rPr>
          <w:rFonts w:ascii="Times New Roman" w:hAnsi="Times New Roman"/>
          <w:noProof/>
          <w:color w:val="000000"/>
          <w:sz w:val="24"/>
          <w:highlight w:val="cyan"/>
        </w:rPr>
      </w:pPr>
      <w:r>
        <w:rPr>
          <w:rFonts w:ascii="Times New Roman" w:hAnsi="Times New Roman"/>
          <w:color w:val="000000"/>
          <w:sz w:val="24"/>
          <w:highlight w:val="cyan"/>
        </w:rPr>
        <w:t xml:space="preserve">Kad tiek lemts par padziļinātiem skrīninga izmeklējumiem, attiecībā uz pretendentiem, kas ir iesaistīti vienpilota </w:t>
      </w:r>
      <w:r>
        <w:rPr>
          <w:rFonts w:ascii="Times New Roman" w:hAnsi="Times New Roman"/>
          <w:i/>
          <w:iCs/>
          <w:color w:val="000000"/>
          <w:sz w:val="24"/>
          <w:highlight w:val="cyan"/>
        </w:rPr>
        <w:t>HEMS</w:t>
      </w:r>
      <w:r>
        <w:rPr>
          <w:rFonts w:ascii="Times New Roman" w:hAnsi="Times New Roman"/>
          <w:color w:val="000000"/>
          <w:sz w:val="24"/>
          <w:highlight w:val="cyan"/>
        </w:rPr>
        <w:t xml:space="preserve"> ekspluatācijā un ir sasnieguši 60 gadu vecumu, sirds un asinsvadu novērtējumā ir ieteicams apsvērt riska līmeni.</w:t>
      </w:r>
    </w:p>
    <w:p w14:paraId="63AB46F8" w14:textId="77777777" w:rsidR="007E5128" w:rsidRPr="00395802" w:rsidRDefault="007E5128" w:rsidP="00F21BA8">
      <w:pPr>
        <w:spacing w:before="120"/>
        <w:ind w:left="284"/>
        <w:jc w:val="both"/>
        <w:rPr>
          <w:rFonts w:ascii="Times New Roman" w:hAnsi="Times New Roman"/>
          <w:noProof/>
          <w:color w:val="000000"/>
          <w:sz w:val="24"/>
        </w:rPr>
      </w:pPr>
      <w:r>
        <w:rPr>
          <w:rFonts w:ascii="Times New Roman" w:hAnsi="Times New Roman"/>
          <w:color w:val="000000"/>
          <w:sz w:val="24"/>
          <w:highlight w:val="cyan"/>
        </w:rPr>
        <w:t>Šajā saistībā AMPV un medicīnas ekspertu atbalstam ir paredzēts plūsmas diagrammas algoritms, ko no Greja [</w:t>
      </w:r>
      <w:r>
        <w:rPr>
          <w:rFonts w:ascii="Times New Roman" w:hAnsi="Times New Roman"/>
          <w:i/>
          <w:iCs/>
          <w:color w:val="000000"/>
          <w:sz w:val="24"/>
          <w:highlight w:val="cyan"/>
        </w:rPr>
        <w:t>Gray</w:t>
      </w:r>
      <w:r>
        <w:rPr>
          <w:rFonts w:ascii="Times New Roman" w:hAnsi="Times New Roman"/>
          <w:color w:val="000000"/>
          <w:sz w:val="24"/>
          <w:highlight w:val="cyan"/>
        </w:rPr>
        <w:t>] u. c. (2019) ir pielāgojis Simonss [</w:t>
      </w:r>
      <w:r>
        <w:rPr>
          <w:rFonts w:ascii="Times New Roman" w:hAnsi="Times New Roman"/>
          <w:i/>
          <w:iCs/>
          <w:color w:val="000000"/>
          <w:sz w:val="24"/>
          <w:highlight w:val="cyan"/>
        </w:rPr>
        <w:t>Simons</w:t>
      </w:r>
      <w:r>
        <w:rPr>
          <w:rFonts w:ascii="Times New Roman" w:hAnsi="Times New Roman"/>
          <w:color w:val="000000"/>
          <w:sz w:val="24"/>
          <w:highlight w:val="cyan"/>
        </w:rPr>
        <w:t>] u. c. (2019). Zema, vidēja vai augsta riska klasifikāciju nosaka, pamatojoties uz izmantoto sirds un asinsvadu vērtējumu. Padziļinātie skrīninga izmeklējumi ir konsultējošā kardiologa pārziņā.</w:t>
      </w:r>
    </w:p>
    <w:p w14:paraId="47B882F7" w14:textId="68703303" w:rsidR="00F112B2" w:rsidRDefault="009B69BF" w:rsidP="00F21BA8">
      <w:pPr>
        <w:spacing w:before="120"/>
        <w:ind w:left="284"/>
        <w:jc w:val="both"/>
        <w:rPr>
          <w:rFonts w:ascii="Times New Roman" w:hAnsi="Times New Roman"/>
          <w:noProof/>
          <w:color w:val="000000"/>
          <w:sz w:val="24"/>
          <w:highlight w:val="cyan"/>
        </w:rPr>
      </w:pPr>
      <w:r>
        <w:rPr>
          <w:rFonts w:ascii="Times New Roman" w:hAnsi="Times New Roman"/>
          <w:sz w:val="24"/>
          <w:highlight w:val="cyan"/>
        </w:rPr>
        <w:t xml:space="preserve">Plūsmas diagrammā izmantotie saīsinājumi: </w:t>
      </w:r>
      <w:r>
        <w:rPr>
          <w:rFonts w:ascii="Times New Roman" w:hAnsi="Times New Roman"/>
          <w:i/>
          <w:iCs/>
          <w:sz w:val="24"/>
          <w:highlight w:val="cyan"/>
        </w:rPr>
        <w:t>CACS</w:t>
      </w:r>
      <w:r>
        <w:rPr>
          <w:rFonts w:ascii="Times New Roman" w:hAnsi="Times New Roman"/>
          <w:sz w:val="24"/>
          <w:highlight w:val="cyan"/>
        </w:rPr>
        <w:t xml:space="preserve"> = koronāro artēriju kalcija rādītājs; </w:t>
      </w:r>
      <w:r>
        <w:rPr>
          <w:rFonts w:ascii="Times New Roman" w:hAnsi="Times New Roman"/>
          <w:i/>
          <w:iCs/>
          <w:sz w:val="24"/>
          <w:highlight w:val="cyan"/>
        </w:rPr>
        <w:t>CTCA</w:t>
      </w:r>
      <w:r>
        <w:rPr>
          <w:rFonts w:ascii="Times New Roman" w:hAnsi="Times New Roman"/>
          <w:sz w:val="24"/>
          <w:highlight w:val="cyan"/>
        </w:rPr>
        <w:t> = datortomogrāfijas koronāro artēriju angiogrāfija</w:t>
      </w:r>
      <w:r>
        <w:rPr>
          <w:rFonts w:ascii="Times New Roman" w:hAnsi="Times New Roman"/>
          <w:color w:val="000000"/>
          <w:sz w:val="24"/>
          <w:highlight w:val="cyan"/>
        </w:rPr>
        <w:t xml:space="preserve">; </w:t>
      </w:r>
      <w:r>
        <w:rPr>
          <w:rFonts w:ascii="Times New Roman" w:hAnsi="Times New Roman"/>
          <w:i/>
          <w:iCs/>
          <w:color w:val="000000"/>
          <w:sz w:val="24"/>
          <w:highlight w:val="cyan"/>
        </w:rPr>
        <w:t>SPECT</w:t>
      </w:r>
      <w:r>
        <w:rPr>
          <w:rFonts w:ascii="Times New Roman" w:hAnsi="Times New Roman"/>
          <w:color w:val="000000"/>
          <w:sz w:val="24"/>
          <w:highlight w:val="cyan"/>
        </w:rPr>
        <w:t xml:space="preserve"> = vienfotona emisijas datortomogrāfija; </w:t>
      </w:r>
      <w:r>
        <w:rPr>
          <w:rFonts w:ascii="Times New Roman" w:hAnsi="Times New Roman"/>
          <w:i/>
          <w:iCs/>
          <w:color w:val="000000"/>
          <w:sz w:val="24"/>
          <w:highlight w:val="cyan"/>
        </w:rPr>
        <w:t>PET</w:t>
      </w:r>
      <w:r>
        <w:rPr>
          <w:rFonts w:ascii="Times New Roman" w:hAnsi="Times New Roman"/>
          <w:color w:val="000000"/>
          <w:sz w:val="24"/>
          <w:highlight w:val="cyan"/>
        </w:rPr>
        <w:t xml:space="preserve"> = pozitronu emisijas tomogrāfija; </w:t>
      </w:r>
      <w:r>
        <w:rPr>
          <w:rFonts w:ascii="Times New Roman" w:hAnsi="Times New Roman"/>
          <w:i/>
          <w:iCs/>
          <w:color w:val="000000"/>
          <w:sz w:val="24"/>
          <w:highlight w:val="cyan"/>
        </w:rPr>
        <w:t>CMR</w:t>
      </w:r>
      <w:r>
        <w:rPr>
          <w:rFonts w:ascii="Times New Roman" w:hAnsi="Times New Roman"/>
          <w:color w:val="000000"/>
          <w:sz w:val="24"/>
          <w:highlight w:val="cyan"/>
        </w:rPr>
        <w:t xml:space="preserve"> = sirds un asinsvadu </w:t>
      </w:r>
      <w:r>
        <w:rPr>
          <w:rFonts w:ascii="Times New Roman" w:hAnsi="Times New Roman"/>
          <w:color w:val="000000"/>
          <w:sz w:val="24"/>
          <w:highlight w:val="cyan"/>
        </w:rPr>
        <w:lastRenderedPageBreak/>
        <w:t xml:space="preserve">magnētiskā rezonanse; </w:t>
      </w:r>
      <w:r>
        <w:rPr>
          <w:rFonts w:ascii="Times New Roman" w:hAnsi="Times New Roman"/>
          <w:i/>
          <w:iCs/>
          <w:color w:val="000000"/>
          <w:sz w:val="24"/>
          <w:highlight w:val="cyan"/>
        </w:rPr>
        <w:t>ICA</w:t>
      </w:r>
      <w:r>
        <w:rPr>
          <w:rFonts w:ascii="Times New Roman" w:hAnsi="Times New Roman"/>
          <w:color w:val="000000"/>
          <w:sz w:val="24"/>
          <w:highlight w:val="cyan"/>
        </w:rPr>
        <w:t> = invazīvā koronāro artēriju angiogrāfija. [</w:t>
      </w:r>
      <w:r>
        <w:rPr>
          <w:rFonts w:ascii="Times New Roman" w:hAnsi="Times New Roman"/>
          <w:i/>
          <w:iCs/>
          <w:color w:val="000000"/>
          <w:sz w:val="24"/>
          <w:highlight w:val="cyan"/>
        </w:rPr>
        <w:t>Simons et al.</w:t>
      </w:r>
      <w:r>
        <w:rPr>
          <w:rFonts w:ascii="Times New Roman" w:hAnsi="Times New Roman"/>
          <w:color w:val="000000"/>
          <w:sz w:val="24"/>
          <w:highlight w:val="cyan"/>
        </w:rPr>
        <w:t xml:space="preserve"> (2019)]</w:t>
      </w:r>
    </w:p>
    <w:p w14:paraId="513E118D" w14:textId="0C851480" w:rsidR="007E5128" w:rsidRPr="00F112B2" w:rsidRDefault="007E5128" w:rsidP="00F112B2">
      <w:pPr>
        <w:rPr>
          <w:rFonts w:ascii="Times New Roman" w:hAnsi="Times New Roman" w:cs="Times New Roman"/>
          <w:noProof/>
          <w:sz w:val="24"/>
          <w:szCs w:val="24"/>
        </w:rPr>
      </w:pPr>
    </w:p>
    <w:p w14:paraId="4B59BA75" w14:textId="1C51BDEA" w:rsidR="00F112B2" w:rsidRPr="00395802" w:rsidRDefault="00560F99" w:rsidP="00560F99">
      <w:pPr>
        <w:jc w:val="center"/>
        <w:rPr>
          <w:rFonts w:ascii="Times New Roman" w:hAnsi="Times New Roman"/>
          <w:noProof/>
          <w:color w:val="000000"/>
          <w:sz w:val="24"/>
          <w:highlight w:val="cyan"/>
        </w:rPr>
      </w:pPr>
      <w:r>
        <w:rPr>
          <w:rFonts w:ascii="Times New Roman" w:hAnsi="Times New Roman"/>
          <w:noProof/>
          <w:color w:val="000000"/>
          <w:sz w:val="24"/>
        </w:rPr>
        <w:drawing>
          <wp:inline distT="0" distB="0" distL="0" distR="0" wp14:anchorId="06EF8E02" wp14:editId="04317470">
            <wp:extent cx="5617655" cy="5974033"/>
            <wp:effectExtent l="0" t="0" r="2540" b="8255"/>
            <wp:docPr id="1714786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86825"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617655" cy="5974033"/>
                    </a:xfrm>
                    <a:prstGeom prst="rect">
                      <a:avLst/>
                    </a:prstGeom>
                  </pic:spPr>
                </pic:pic>
              </a:graphicData>
            </a:graphic>
          </wp:inline>
        </w:drawing>
      </w:r>
    </w:p>
    <w:p w14:paraId="4E956C9A" w14:textId="1C49764B" w:rsidR="007E5128" w:rsidRDefault="007E5128" w:rsidP="00395802">
      <w:pPr>
        <w:jc w:val="both"/>
        <w:rPr>
          <w:rFonts w:ascii="Times New Roman" w:hAnsi="Times New Roman"/>
          <w:noProof/>
          <w:sz w:val="24"/>
        </w:rPr>
      </w:pPr>
    </w:p>
    <w:p w14:paraId="34BF8700" w14:textId="77777777" w:rsidR="00560F99" w:rsidRPr="00395802" w:rsidRDefault="00560F99"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7DC247A1" w14:textId="77777777" w:rsidTr="00EE2588">
        <w:trPr>
          <w:trHeight w:val="521"/>
        </w:trPr>
        <w:tc>
          <w:tcPr>
            <w:tcW w:w="2488" w:type="pct"/>
            <w:tcBorders>
              <w:bottom w:val="nil"/>
              <w:right w:val="nil"/>
            </w:tcBorders>
          </w:tcPr>
          <w:p w14:paraId="55743579" w14:textId="77777777" w:rsidR="007E5128" w:rsidRPr="00395802" w:rsidRDefault="007E5128" w:rsidP="00192C27">
            <w:pPr>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66344184" w14:textId="77777777" w:rsidR="007E5128" w:rsidRPr="00395802" w:rsidRDefault="007E5128" w:rsidP="00192C27">
            <w:pPr>
              <w:ind w:left="57" w:right="57"/>
              <w:jc w:val="right"/>
              <w:rPr>
                <w:rFonts w:ascii="Times New Roman" w:hAnsi="Times New Roman"/>
                <w:i/>
                <w:noProof/>
                <w:sz w:val="24"/>
              </w:rPr>
            </w:pPr>
            <w:r>
              <w:rPr>
                <w:rFonts w:ascii="Times New Roman" w:hAnsi="Times New Roman"/>
                <w:i/>
                <w:sz w:val="24"/>
              </w:rPr>
              <w:t>RMT.0287.</w:t>
            </w:r>
          </w:p>
        </w:tc>
      </w:tr>
      <w:tr w:rsidR="007E5128" w:rsidRPr="00395802" w14:paraId="209D885C" w14:textId="77777777" w:rsidTr="00EE2588">
        <w:trPr>
          <w:trHeight w:val="1363"/>
        </w:trPr>
        <w:tc>
          <w:tcPr>
            <w:tcW w:w="5000" w:type="pct"/>
            <w:gridSpan w:val="2"/>
            <w:tcBorders>
              <w:top w:val="nil"/>
            </w:tcBorders>
          </w:tcPr>
          <w:p w14:paraId="2142F429" w14:textId="77777777" w:rsidR="007E5128" w:rsidRPr="00395802" w:rsidRDefault="007E5128" w:rsidP="00192C27">
            <w:pPr>
              <w:ind w:left="57" w:right="57"/>
              <w:jc w:val="both"/>
              <w:rPr>
                <w:rFonts w:ascii="Times New Roman" w:hAnsi="Times New Roman"/>
                <w:noProof/>
                <w:sz w:val="24"/>
              </w:rPr>
            </w:pPr>
            <w:r>
              <w:rPr>
                <w:rFonts w:ascii="Times New Roman" w:hAnsi="Times New Roman"/>
                <w:sz w:val="24"/>
              </w:rPr>
              <w:t xml:space="preserve">Ņemot vērā Eiropas Kardiologu biedrības norādījumus un </w:t>
            </w:r>
            <w:r>
              <w:rPr>
                <w:rFonts w:ascii="Times New Roman" w:hAnsi="Times New Roman"/>
                <w:i/>
                <w:iCs/>
                <w:sz w:val="24"/>
              </w:rPr>
              <w:t>EASA</w:t>
            </w:r>
            <w:r>
              <w:rPr>
                <w:rFonts w:ascii="Times New Roman" w:hAnsi="Times New Roman"/>
                <w:sz w:val="24"/>
              </w:rPr>
              <w:t xml:space="preserve"> pētījuma ieteikumus par pilotu vecuma ierobežojumiem, noteikumu sagatavošanas grupa ierosināja pievienot šīs </w:t>
            </w:r>
            <w:r>
              <w:rPr>
                <w:rFonts w:ascii="Times New Roman" w:hAnsi="Times New Roman"/>
                <w:i/>
                <w:iCs/>
                <w:sz w:val="24"/>
              </w:rPr>
              <w:t>GM</w:t>
            </w:r>
            <w:r>
              <w:rPr>
                <w:rFonts w:ascii="Times New Roman" w:hAnsi="Times New Roman"/>
                <w:sz w:val="24"/>
              </w:rPr>
              <w:t xml:space="preserve">, lai nodrošinātu labās prakses vadlīnijas par kardiovaskulārā riska faktoru novērtējumu, kā arī to pilotu sirds un asinsvadu novērtējumu, kas iesaistīti vienpilota </w:t>
            </w:r>
            <w:r>
              <w:rPr>
                <w:rFonts w:ascii="Times New Roman" w:hAnsi="Times New Roman"/>
                <w:i/>
                <w:iCs/>
                <w:sz w:val="24"/>
              </w:rPr>
              <w:t>HEMS</w:t>
            </w:r>
            <w:r>
              <w:rPr>
                <w:rFonts w:ascii="Times New Roman" w:hAnsi="Times New Roman"/>
                <w:sz w:val="24"/>
              </w:rPr>
              <w:t xml:space="preserve"> ekspluatācijā un ir sasnieguši 60 gadu vecumu.</w:t>
            </w:r>
          </w:p>
        </w:tc>
      </w:tr>
    </w:tbl>
    <w:p w14:paraId="483084F8" w14:textId="77777777" w:rsidR="007E5128" w:rsidRPr="00395802" w:rsidRDefault="007E5128" w:rsidP="00395802">
      <w:pPr>
        <w:jc w:val="both"/>
        <w:rPr>
          <w:rFonts w:ascii="Times New Roman" w:hAnsi="Times New Roman"/>
          <w:noProof/>
          <w:sz w:val="24"/>
        </w:rPr>
      </w:pPr>
    </w:p>
    <w:p w14:paraId="086A01E7" w14:textId="4BB9772E" w:rsidR="007E5128" w:rsidRPr="0099127D" w:rsidRDefault="007E5128" w:rsidP="000B0768">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MED.B.015. punktu “Elpošanas sistēma”</w:t>
      </w:r>
    </w:p>
    <w:p w14:paraId="172C0D8E" w14:textId="77777777" w:rsidR="000B0768" w:rsidRDefault="000B0768" w:rsidP="00395802">
      <w:pPr>
        <w:jc w:val="both"/>
        <w:rPr>
          <w:rFonts w:ascii="Times New Roman" w:hAnsi="Times New Roman"/>
          <w:noProof/>
          <w:sz w:val="24"/>
        </w:rPr>
      </w:pPr>
    </w:p>
    <w:p w14:paraId="65D7AC4B" w14:textId="032591C7" w:rsidR="007E5128" w:rsidRPr="00395802" w:rsidRDefault="000B0768" w:rsidP="00395802">
      <w:pPr>
        <w:jc w:val="both"/>
        <w:rPr>
          <w:rFonts w:ascii="Times New Roman" w:hAnsi="Times New Roman"/>
          <w:noProof/>
          <w:sz w:val="24"/>
        </w:rPr>
      </w:pPr>
      <w:r>
        <w:rPr>
          <w:rFonts w:ascii="Times New Roman" w:hAnsi="Times New Roman"/>
          <w:sz w:val="24"/>
        </w:rPr>
        <w:t>a) Pārbaude</w:t>
      </w:r>
    </w:p>
    <w:p w14:paraId="5871987A" w14:textId="38C7F1C7" w:rsidR="007E5128" w:rsidRPr="00395802" w:rsidRDefault="00E06E68" w:rsidP="00E06E68">
      <w:pPr>
        <w:ind w:left="284"/>
        <w:jc w:val="both"/>
        <w:rPr>
          <w:rFonts w:ascii="Times New Roman" w:hAnsi="Times New Roman"/>
          <w:noProof/>
          <w:sz w:val="24"/>
        </w:rPr>
      </w:pPr>
      <w:r>
        <w:rPr>
          <w:rFonts w:ascii="Times New Roman" w:hAnsi="Times New Roman"/>
          <w:sz w:val="24"/>
        </w:rPr>
        <w:lastRenderedPageBreak/>
        <w:t>1) Spirometrija</w:t>
      </w:r>
    </w:p>
    <w:p w14:paraId="18F36148" w14:textId="77777777" w:rsidR="007E5128" w:rsidRPr="00395802" w:rsidRDefault="007E5128" w:rsidP="00E06E68">
      <w:pPr>
        <w:ind w:left="567"/>
        <w:jc w:val="both"/>
        <w:rPr>
          <w:rFonts w:ascii="Times New Roman" w:hAnsi="Times New Roman"/>
          <w:noProof/>
          <w:color w:val="000000"/>
          <w:sz w:val="24"/>
        </w:rPr>
      </w:pPr>
      <w:r>
        <w:rPr>
          <w:rFonts w:ascii="Times New Roman" w:hAnsi="Times New Roman"/>
          <w:color w:val="000000"/>
          <w:sz w:val="24"/>
          <w:highlight w:val="cyan"/>
        </w:rPr>
        <w:t>Saskaņā ar MED.B.015 b) un c) apakšpunktā norādīto</w:t>
      </w:r>
      <w:r>
        <w:rPr>
          <w:rFonts w:ascii="Times New Roman" w:hAnsi="Times New Roman"/>
          <w:color w:val="000000"/>
          <w:sz w:val="24"/>
        </w:rPr>
        <w:t xml:space="preserve"> </w:t>
      </w:r>
      <w:r>
        <w:rPr>
          <w:rFonts w:ascii="Times New Roman" w:hAnsi="Times New Roman"/>
          <w:strike/>
          <w:color w:val="FF0000"/>
          <w:sz w:val="24"/>
        </w:rPr>
        <w:t xml:space="preserve">pirmreizējā veselības pārbaudē un atbilstīgi klīniskajām indikācijām </w:t>
      </w:r>
      <w:r>
        <w:rPr>
          <w:rFonts w:ascii="Times New Roman" w:hAnsi="Times New Roman"/>
          <w:sz w:val="24"/>
        </w:rPr>
        <w:t xml:space="preserve">spirometrija ir jāveic </w:t>
      </w:r>
      <w:r>
        <w:rPr>
          <w:rFonts w:ascii="Times New Roman" w:hAnsi="Times New Roman"/>
          <w:color w:val="000000"/>
          <w:sz w:val="24"/>
          <w:highlight w:val="cyan"/>
        </w:rPr>
        <w:t>1. klases veselības apliecības pretendentiem konkrētās situācijās</w:t>
      </w:r>
      <w:r>
        <w:rPr>
          <w:rFonts w:ascii="Times New Roman" w:hAnsi="Times New Roman"/>
          <w:color w:val="000000"/>
          <w:sz w:val="24"/>
        </w:rPr>
        <w:t xml:space="preserve">. Pretendenti, kuriem </w:t>
      </w:r>
      <w:r>
        <w:rPr>
          <w:rFonts w:ascii="Times New Roman" w:hAnsi="Times New Roman"/>
          <w:i/>
          <w:iCs/>
          <w:color w:val="000000"/>
          <w:sz w:val="24"/>
        </w:rPr>
        <w:t>FEV1/FVC</w:t>
      </w:r>
      <w:r>
        <w:rPr>
          <w:rFonts w:ascii="Times New Roman" w:hAnsi="Times New Roman"/>
          <w:color w:val="000000"/>
          <w:sz w:val="24"/>
        </w:rPr>
        <w:t xml:space="preserve"> attiecība ir mazāka par 70 %, jāizmeklē sertificētam pulmonologam.</w:t>
      </w:r>
    </w:p>
    <w:p w14:paraId="0E3958AF" w14:textId="77777777" w:rsidR="00E06E68" w:rsidRDefault="00E06E68" w:rsidP="00395802">
      <w:pPr>
        <w:jc w:val="both"/>
        <w:rPr>
          <w:rFonts w:ascii="Times New Roman" w:hAnsi="Times New Roman"/>
          <w:noProof/>
          <w:sz w:val="24"/>
        </w:rPr>
      </w:pPr>
    </w:p>
    <w:p w14:paraId="4BE7BC48" w14:textId="2997088C" w:rsidR="007E5128" w:rsidRPr="00395802" w:rsidRDefault="00FB0C2C" w:rsidP="00FB0C2C">
      <w:pPr>
        <w:ind w:left="284"/>
        <w:jc w:val="both"/>
        <w:rPr>
          <w:rFonts w:ascii="Times New Roman" w:hAnsi="Times New Roman"/>
          <w:noProof/>
          <w:sz w:val="24"/>
        </w:rPr>
      </w:pPr>
      <w:r>
        <w:rPr>
          <w:rFonts w:ascii="Times New Roman" w:hAnsi="Times New Roman"/>
          <w:sz w:val="24"/>
        </w:rPr>
        <w:t>2) Krūškurvja rentgenoloģiskā izmeklēšana</w:t>
      </w:r>
    </w:p>
    <w:p w14:paraId="142EE7AE" w14:textId="77777777" w:rsidR="007E5128" w:rsidRPr="00395802" w:rsidRDefault="007E5128" w:rsidP="00FB0C2C">
      <w:pPr>
        <w:ind w:left="567"/>
        <w:jc w:val="both"/>
        <w:rPr>
          <w:rFonts w:ascii="Times New Roman" w:hAnsi="Times New Roman"/>
          <w:noProof/>
          <w:sz w:val="24"/>
        </w:rPr>
      </w:pPr>
      <w:r>
        <w:rPr>
          <w:rFonts w:ascii="Times New Roman" w:hAnsi="Times New Roman"/>
          <w:sz w:val="24"/>
        </w:rPr>
        <w:t>Krūškurvja rentgenoloģisku izmeklēšanu mugurējā/priekšējā pozīcijā var veikt pirmreizējā veselības pārbaudē, atkārtotā pārbaudē vai apliecības atjaunošanas pārbaudē, ja pastāv klīniska vai epidemioloģiska nepieciešamība.</w:t>
      </w:r>
    </w:p>
    <w:p w14:paraId="6AA29E51" w14:textId="77777777" w:rsidR="00FB0C2C" w:rsidRDefault="00FB0C2C" w:rsidP="00395802">
      <w:pPr>
        <w:jc w:val="both"/>
        <w:rPr>
          <w:rFonts w:ascii="Times New Roman" w:hAnsi="Times New Roman"/>
          <w:noProof/>
          <w:sz w:val="24"/>
        </w:rPr>
      </w:pPr>
    </w:p>
    <w:p w14:paraId="61F6B179" w14:textId="11A10DFF" w:rsidR="00D2050C" w:rsidRDefault="00E06E68" w:rsidP="00395802">
      <w:pPr>
        <w:jc w:val="both"/>
        <w:rPr>
          <w:rFonts w:ascii="Times New Roman" w:hAnsi="Times New Roman"/>
          <w:noProof/>
          <w:sz w:val="24"/>
        </w:rPr>
      </w:pPr>
      <w:r>
        <w:rPr>
          <w:rFonts w:ascii="Times New Roman" w:hAnsi="Times New Roman"/>
          <w:sz w:val="24"/>
        </w:rPr>
        <w:t>(..)</w:t>
      </w:r>
    </w:p>
    <w:p w14:paraId="53FB8EA4" w14:textId="77777777" w:rsidR="00FB0C2C" w:rsidRPr="00395802" w:rsidRDefault="00FB0C2C" w:rsidP="00395802">
      <w:pPr>
        <w:jc w:val="both"/>
        <w:rPr>
          <w:rFonts w:ascii="Times New Roman" w:hAnsi="Times New Roman"/>
          <w:noProof/>
          <w:sz w:val="24"/>
        </w:rPr>
      </w:pPr>
    </w:p>
    <w:p w14:paraId="2065E7DC" w14:textId="53BA221F" w:rsidR="000F63BA" w:rsidRDefault="007E5128" w:rsidP="00192C27">
      <w:pPr>
        <w:spacing w:before="120"/>
        <w:jc w:val="both"/>
        <w:rPr>
          <w:rFonts w:ascii="Times New Roman" w:hAnsi="Times New Roman"/>
          <w:noProof/>
          <w:sz w:val="24"/>
        </w:rPr>
      </w:pPr>
      <w:r>
        <w:rPr>
          <w:rFonts w:ascii="Times New Roman" w:hAnsi="Times New Roman"/>
          <w:sz w:val="24"/>
        </w:rPr>
        <w:t>h) Miega apnojas sindroms / miega traucējumi</w:t>
      </w:r>
    </w:p>
    <w:p w14:paraId="470CF3F1" w14:textId="6A83BFDC" w:rsidR="000F63BA" w:rsidRPr="00071ED0" w:rsidRDefault="007E5128" w:rsidP="00192C27">
      <w:pPr>
        <w:spacing w:before="120"/>
        <w:ind w:left="284"/>
        <w:jc w:val="both"/>
        <w:rPr>
          <w:rFonts w:ascii="Times New Roman" w:hAnsi="Times New Roman"/>
          <w:noProof/>
          <w:sz w:val="24"/>
        </w:rPr>
      </w:pPr>
      <w:r>
        <w:rPr>
          <w:rFonts w:ascii="Times New Roman" w:hAnsi="Times New Roman"/>
          <w:sz w:val="24"/>
        </w:rPr>
        <w:t>Pretendenti, kuriem miega apnojas sindroma ārstēšanas rezultāti nav apmierinoši, jāatzīst par nepiemērotiem.</w:t>
      </w:r>
    </w:p>
    <w:p w14:paraId="04D874ED" w14:textId="007C992D" w:rsidR="007E5128" w:rsidRPr="00395802" w:rsidRDefault="007E5128" w:rsidP="00192C27">
      <w:pPr>
        <w:spacing w:before="120"/>
        <w:ind w:left="284"/>
        <w:jc w:val="both"/>
        <w:rPr>
          <w:rFonts w:ascii="Times New Roman" w:hAnsi="Times New Roman"/>
          <w:noProof/>
          <w:color w:val="000000"/>
          <w:sz w:val="24"/>
        </w:rPr>
      </w:pPr>
      <w:r>
        <w:rPr>
          <w:rFonts w:ascii="Times New Roman" w:hAnsi="Times New Roman"/>
          <w:color w:val="000000"/>
          <w:sz w:val="24"/>
          <w:highlight w:val="cyan"/>
        </w:rPr>
        <w:t>Obstruktīvās miega apnojas (</w:t>
      </w:r>
      <w:r>
        <w:rPr>
          <w:rFonts w:ascii="Times New Roman" w:hAnsi="Times New Roman"/>
          <w:i/>
          <w:iCs/>
          <w:color w:val="000000"/>
          <w:sz w:val="24"/>
          <w:highlight w:val="cyan"/>
        </w:rPr>
        <w:t>OSA</w:t>
      </w:r>
      <w:r>
        <w:rPr>
          <w:rFonts w:ascii="Times New Roman" w:hAnsi="Times New Roman"/>
          <w:color w:val="000000"/>
          <w:sz w:val="24"/>
          <w:highlight w:val="cyan"/>
        </w:rPr>
        <w:t xml:space="preserve">) skrīningā jāiekļauj anamnestiska intervija un </w:t>
      </w:r>
      <w:r>
        <w:rPr>
          <w:rFonts w:ascii="Times New Roman" w:hAnsi="Times New Roman"/>
          <w:i/>
          <w:iCs/>
          <w:color w:val="000000"/>
          <w:sz w:val="24"/>
          <w:highlight w:val="cyan"/>
        </w:rPr>
        <w:t>OSA</w:t>
      </w:r>
      <w:r>
        <w:rPr>
          <w:rFonts w:ascii="Times New Roman" w:hAnsi="Times New Roman"/>
          <w:color w:val="000000"/>
          <w:sz w:val="24"/>
          <w:highlight w:val="cyan"/>
        </w:rPr>
        <w:t xml:space="preserve"> riska faktoru, piemēram, paaugstināta </w:t>
      </w:r>
      <w:r>
        <w:rPr>
          <w:rFonts w:ascii="Times New Roman" w:hAnsi="Times New Roman"/>
          <w:i/>
          <w:iCs/>
          <w:color w:val="000000"/>
          <w:sz w:val="24"/>
          <w:highlight w:val="cyan"/>
        </w:rPr>
        <w:t>BMI</w:t>
      </w:r>
      <w:r>
        <w:rPr>
          <w:rFonts w:ascii="Times New Roman" w:hAnsi="Times New Roman"/>
          <w:color w:val="000000"/>
          <w:sz w:val="24"/>
          <w:highlight w:val="cyan"/>
        </w:rPr>
        <w:t xml:space="preserve">, novērtējums un sirds un asinsvadu, cerebrovaskulārā, metaboliskā un </w:t>
      </w:r>
      <w:r>
        <w:rPr>
          <w:rFonts w:ascii="Times New Roman" w:hAnsi="Times New Roman"/>
          <w:i/>
          <w:iCs/>
          <w:color w:val="000000"/>
          <w:sz w:val="24"/>
          <w:highlight w:val="cyan"/>
        </w:rPr>
        <w:t>ENT</w:t>
      </w:r>
      <w:r>
        <w:rPr>
          <w:rFonts w:ascii="Times New Roman" w:hAnsi="Times New Roman"/>
          <w:color w:val="000000"/>
          <w:sz w:val="24"/>
          <w:highlight w:val="cyan"/>
        </w:rPr>
        <w:t xml:space="preserve"> patoloģija anamnēzē.</w:t>
      </w:r>
    </w:p>
    <w:p w14:paraId="7F0A6576" w14:textId="77777777" w:rsidR="007E5128" w:rsidRPr="00395802" w:rsidRDefault="007E5128"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7A73F7F9" w14:textId="77777777" w:rsidTr="000F63BA">
        <w:trPr>
          <w:trHeight w:val="520"/>
        </w:trPr>
        <w:tc>
          <w:tcPr>
            <w:tcW w:w="2488" w:type="pct"/>
            <w:tcBorders>
              <w:bottom w:val="nil"/>
              <w:right w:val="nil"/>
            </w:tcBorders>
          </w:tcPr>
          <w:p w14:paraId="4CE35701" w14:textId="77777777" w:rsidR="007E5128" w:rsidRPr="00395802" w:rsidRDefault="007E5128" w:rsidP="00192C27">
            <w:pPr>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488D9402" w14:textId="77777777" w:rsidR="007E5128" w:rsidRPr="00395802" w:rsidRDefault="007E5128" w:rsidP="00192C27">
            <w:pPr>
              <w:ind w:left="57" w:right="57"/>
              <w:jc w:val="right"/>
              <w:rPr>
                <w:rFonts w:ascii="Times New Roman" w:hAnsi="Times New Roman"/>
                <w:i/>
                <w:noProof/>
                <w:sz w:val="24"/>
              </w:rPr>
            </w:pPr>
            <w:r>
              <w:rPr>
                <w:rFonts w:ascii="Times New Roman" w:hAnsi="Times New Roman"/>
                <w:i/>
                <w:sz w:val="24"/>
              </w:rPr>
              <w:t>RMT.0287.</w:t>
            </w:r>
          </w:p>
        </w:tc>
      </w:tr>
      <w:tr w:rsidR="007E5128" w:rsidRPr="00395802" w14:paraId="016FD03B" w14:textId="77777777" w:rsidTr="000F63BA">
        <w:trPr>
          <w:trHeight w:val="1925"/>
        </w:trPr>
        <w:tc>
          <w:tcPr>
            <w:tcW w:w="5000" w:type="pct"/>
            <w:gridSpan w:val="2"/>
            <w:tcBorders>
              <w:top w:val="nil"/>
            </w:tcBorders>
          </w:tcPr>
          <w:p w14:paraId="4DFD1733" w14:textId="77777777" w:rsidR="007E5128" w:rsidRPr="00395802" w:rsidRDefault="007E5128" w:rsidP="00192C27">
            <w:pPr>
              <w:ind w:left="57" w:right="57"/>
              <w:jc w:val="both"/>
              <w:rPr>
                <w:rFonts w:ascii="Times New Roman" w:hAnsi="Times New Roman"/>
                <w:noProof/>
                <w:sz w:val="24"/>
              </w:rPr>
            </w:pPr>
            <w:r>
              <w:rPr>
                <w:rFonts w:ascii="Times New Roman" w:hAnsi="Times New Roman"/>
                <w:sz w:val="24"/>
              </w:rPr>
              <w:t xml:space="preserve">Noteikumu sagatavošanas grupā un Medicīnas ekspertu grupas (MEG) diskusijās tika uzsvērta pienācīgas anamnestiskas intervijas un </w:t>
            </w:r>
            <w:r>
              <w:rPr>
                <w:rFonts w:ascii="Times New Roman" w:hAnsi="Times New Roman"/>
                <w:i/>
                <w:iCs/>
                <w:sz w:val="24"/>
              </w:rPr>
              <w:t>OSA</w:t>
            </w:r>
            <w:r>
              <w:rPr>
                <w:rFonts w:ascii="Times New Roman" w:hAnsi="Times New Roman"/>
                <w:sz w:val="24"/>
              </w:rPr>
              <w:t xml:space="preserve"> riska faktoru novērtējuma būtiskā nozīme, lai savlaicīgi atklātu pretendentus, kuri cieš no </w:t>
            </w:r>
            <w:r>
              <w:rPr>
                <w:rFonts w:ascii="Times New Roman" w:hAnsi="Times New Roman"/>
                <w:i/>
                <w:iCs/>
                <w:sz w:val="24"/>
              </w:rPr>
              <w:t>OSA</w:t>
            </w:r>
            <w:r>
              <w:rPr>
                <w:rFonts w:ascii="Times New Roman" w:hAnsi="Times New Roman"/>
                <w:sz w:val="24"/>
              </w:rPr>
              <w:t xml:space="preserve"> vai kuriem ir augsts </w:t>
            </w:r>
            <w:r>
              <w:rPr>
                <w:rFonts w:ascii="Times New Roman" w:hAnsi="Times New Roman"/>
                <w:i/>
                <w:iCs/>
                <w:sz w:val="24"/>
              </w:rPr>
              <w:t>OSA</w:t>
            </w:r>
            <w:r>
              <w:rPr>
                <w:rFonts w:ascii="Times New Roman" w:hAnsi="Times New Roman"/>
                <w:sz w:val="24"/>
              </w:rPr>
              <w:t xml:space="preserve"> risks, un lai piloti varētu iespējami ātri sākt ārstēšanu un riska faktoru pārvaldību ar mērķi samazināt ar </w:t>
            </w:r>
            <w:r>
              <w:rPr>
                <w:rFonts w:ascii="Times New Roman" w:hAnsi="Times New Roman"/>
                <w:i/>
                <w:iCs/>
                <w:sz w:val="24"/>
              </w:rPr>
              <w:t>OSA</w:t>
            </w:r>
            <w:r>
              <w:rPr>
                <w:rFonts w:ascii="Times New Roman" w:hAnsi="Times New Roman"/>
                <w:sz w:val="24"/>
              </w:rPr>
              <w:t xml:space="preserve"> saistītos riskus un turpināt veikt drošus lidojumus. Tāpēc šie </w:t>
            </w:r>
            <w:r>
              <w:rPr>
                <w:rFonts w:ascii="Times New Roman" w:hAnsi="Times New Roman"/>
                <w:i/>
                <w:iCs/>
                <w:sz w:val="24"/>
              </w:rPr>
              <w:t>AMC</w:t>
            </w:r>
            <w:r>
              <w:rPr>
                <w:rFonts w:ascii="Times New Roman" w:hAnsi="Times New Roman"/>
                <w:sz w:val="24"/>
              </w:rPr>
              <w:t xml:space="preserve"> tika atjaunināti, lai sniegtu skaidrojumus par </w:t>
            </w:r>
            <w:r>
              <w:rPr>
                <w:rFonts w:ascii="Times New Roman" w:hAnsi="Times New Roman"/>
                <w:i/>
                <w:iCs/>
                <w:sz w:val="24"/>
              </w:rPr>
              <w:t>OSA</w:t>
            </w:r>
            <w:r>
              <w:rPr>
                <w:rFonts w:ascii="Times New Roman" w:hAnsi="Times New Roman"/>
                <w:sz w:val="24"/>
              </w:rPr>
              <w:t xml:space="preserve"> skrīninga saturu.</w:t>
            </w:r>
          </w:p>
        </w:tc>
      </w:tr>
    </w:tbl>
    <w:p w14:paraId="7FB42704" w14:textId="77777777" w:rsidR="007E5128" w:rsidRPr="00395802" w:rsidRDefault="007E5128" w:rsidP="00395802">
      <w:pPr>
        <w:jc w:val="both"/>
        <w:rPr>
          <w:rFonts w:ascii="Times New Roman" w:hAnsi="Times New Roman"/>
          <w:noProof/>
          <w:sz w:val="24"/>
        </w:rPr>
      </w:pPr>
    </w:p>
    <w:p w14:paraId="3D49BD2A" w14:textId="182583F2" w:rsidR="007E5128" w:rsidRPr="00103C52" w:rsidRDefault="007E5128" w:rsidP="00071ED0">
      <w:pPr>
        <w:shd w:val="clear" w:color="auto" w:fill="00B050"/>
        <w:jc w:val="both"/>
        <w:rPr>
          <w:rFonts w:ascii="Times New Roman" w:hAnsi="Times New Roman"/>
          <w:b/>
          <w:bCs/>
          <w:noProof/>
          <w:color w:val="FFFFFF"/>
          <w:sz w:val="28"/>
          <w:szCs w:val="24"/>
          <w:highlight w:val="cyan"/>
        </w:rPr>
      </w:pPr>
      <w:r>
        <w:rPr>
          <w:rFonts w:ascii="Times New Roman" w:hAnsi="Times New Roman"/>
          <w:b/>
          <w:color w:val="FFFFFF"/>
          <w:sz w:val="28"/>
          <w:highlight w:val="cyan"/>
        </w:rPr>
        <w:t>GM1 par MED.B.015. punktu “Elpošanas sistēma”</w:t>
      </w:r>
    </w:p>
    <w:p w14:paraId="36D6175A" w14:textId="77777777" w:rsidR="00D27C7F" w:rsidRDefault="00D27C7F" w:rsidP="00395802">
      <w:pPr>
        <w:jc w:val="both"/>
        <w:rPr>
          <w:rFonts w:ascii="Times New Roman" w:hAnsi="Times New Roman"/>
          <w:noProof/>
          <w:color w:val="000000"/>
          <w:sz w:val="24"/>
          <w:highlight w:val="cyan"/>
        </w:rPr>
      </w:pPr>
    </w:p>
    <w:p w14:paraId="50EABFB6" w14:textId="68EF13C3" w:rsidR="007E5128" w:rsidRPr="00D27C7F" w:rsidRDefault="007E5128" w:rsidP="00395802">
      <w:pPr>
        <w:jc w:val="both"/>
        <w:rPr>
          <w:rFonts w:ascii="Times New Roman" w:hAnsi="Times New Roman"/>
          <w:b/>
          <w:bCs/>
          <w:noProof/>
          <w:color w:val="000000"/>
          <w:sz w:val="24"/>
        </w:rPr>
      </w:pPr>
      <w:r>
        <w:rPr>
          <w:rFonts w:ascii="Times New Roman" w:hAnsi="Times New Roman"/>
          <w:b/>
          <w:color w:val="000000"/>
          <w:sz w:val="24"/>
          <w:highlight w:val="cyan"/>
        </w:rPr>
        <w:t>OBSTRUKTĪVĀS MIEGA APNOJAS (</w:t>
      </w:r>
      <w:r>
        <w:rPr>
          <w:rFonts w:ascii="Times New Roman" w:hAnsi="Times New Roman"/>
          <w:b/>
          <w:i/>
          <w:iCs/>
          <w:color w:val="000000"/>
          <w:sz w:val="24"/>
          <w:highlight w:val="cyan"/>
        </w:rPr>
        <w:t>OSA</w:t>
      </w:r>
      <w:r>
        <w:rPr>
          <w:rFonts w:ascii="Times New Roman" w:hAnsi="Times New Roman"/>
          <w:b/>
          <w:color w:val="000000"/>
          <w:sz w:val="24"/>
          <w:highlight w:val="cyan"/>
        </w:rPr>
        <w:t>) SINDROMA SKRĪNINGS</w:t>
      </w:r>
    </w:p>
    <w:p w14:paraId="20E8D932" w14:textId="77777777" w:rsidR="00D27C7F" w:rsidRPr="00395802" w:rsidRDefault="00D27C7F" w:rsidP="00395802">
      <w:pPr>
        <w:jc w:val="both"/>
        <w:rPr>
          <w:rFonts w:ascii="Times New Roman" w:hAnsi="Times New Roman"/>
          <w:noProof/>
          <w:color w:val="000000"/>
          <w:sz w:val="24"/>
        </w:rPr>
      </w:pPr>
    </w:p>
    <w:p w14:paraId="58C97F95" w14:textId="35B425BE" w:rsidR="007E5128" w:rsidRPr="00395802" w:rsidRDefault="00D27C7F" w:rsidP="006E5720">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a) Kad AMPV veic </w:t>
      </w:r>
      <w:r>
        <w:rPr>
          <w:rFonts w:ascii="Times New Roman" w:hAnsi="Times New Roman"/>
          <w:i/>
          <w:iCs/>
          <w:color w:val="000000"/>
          <w:sz w:val="24"/>
          <w:highlight w:val="cyan"/>
        </w:rPr>
        <w:t>OSA</w:t>
      </w:r>
      <w:r>
        <w:rPr>
          <w:rFonts w:ascii="Times New Roman" w:hAnsi="Times New Roman"/>
          <w:color w:val="000000"/>
          <w:sz w:val="24"/>
          <w:highlight w:val="cyan"/>
        </w:rPr>
        <w:t xml:space="preserve"> sindroma skrīningu saviem pretendentiem, tie var apsvērt turpmāk aprakstītā algoritma piemērošanu.</w:t>
      </w:r>
    </w:p>
    <w:p w14:paraId="4530687F" w14:textId="45D3C083" w:rsidR="007E5128" w:rsidRDefault="00E55D4B" w:rsidP="006E5720">
      <w:pPr>
        <w:ind w:left="284"/>
        <w:jc w:val="both"/>
        <w:rPr>
          <w:rFonts w:ascii="Times New Roman" w:hAnsi="Times New Roman"/>
          <w:noProof/>
          <w:sz w:val="24"/>
        </w:rPr>
      </w:pPr>
      <w:r>
        <w:rPr>
          <w:rFonts w:ascii="Times New Roman" w:hAnsi="Times New Roman"/>
          <w:i/>
          <w:iCs/>
          <w:sz w:val="24"/>
          <w:highlight w:val="cyan"/>
        </w:rPr>
        <w:t>OSA</w:t>
      </w:r>
      <w:r>
        <w:rPr>
          <w:rFonts w:ascii="Times New Roman" w:hAnsi="Times New Roman"/>
          <w:sz w:val="24"/>
          <w:highlight w:val="cyan"/>
        </w:rPr>
        <w:t xml:space="preserve"> riska novērtēšanu var apsvērt katrā pilotu medicīnas pārbaudē, izmantojot vērtējumus, kuros apvienoti jautājumi par anamnēzi un fiziski konstatējumi, piemēram, </w:t>
      </w:r>
      <w:r>
        <w:rPr>
          <w:rFonts w:ascii="Times New Roman" w:hAnsi="Times New Roman"/>
          <w:i/>
          <w:iCs/>
          <w:sz w:val="24"/>
          <w:highlight w:val="cyan"/>
        </w:rPr>
        <w:t>STOP-BANG</w:t>
      </w:r>
      <w:r>
        <w:rPr>
          <w:rFonts w:ascii="Times New Roman" w:hAnsi="Times New Roman"/>
          <w:sz w:val="24"/>
          <w:highlight w:val="cyan"/>
        </w:rPr>
        <w:t xml:space="preserve"> vērtējums.</w:t>
      </w:r>
    </w:p>
    <w:p w14:paraId="22FB225F" w14:textId="77777777" w:rsidR="006E5720" w:rsidRPr="00395802" w:rsidRDefault="006E5720" w:rsidP="006E5720">
      <w:pPr>
        <w:ind w:left="284"/>
        <w:jc w:val="both"/>
        <w:rPr>
          <w:rFonts w:ascii="Times New Roman" w:hAnsi="Times New Roman"/>
          <w:noProof/>
          <w:sz w:val="24"/>
        </w:rPr>
      </w:pPr>
    </w:p>
    <w:p w14:paraId="6D25A328" w14:textId="3B94DA69" w:rsidR="007E5128" w:rsidRPr="00395802" w:rsidRDefault="006E5720" w:rsidP="00192C27">
      <w:pPr>
        <w:spacing w:before="120"/>
        <w:jc w:val="both"/>
        <w:rPr>
          <w:rFonts w:ascii="Times New Roman" w:hAnsi="Times New Roman"/>
          <w:noProof/>
          <w:color w:val="000000"/>
          <w:sz w:val="24"/>
        </w:rPr>
      </w:pPr>
      <w:r>
        <w:rPr>
          <w:rFonts w:ascii="Times New Roman" w:hAnsi="Times New Roman"/>
          <w:color w:val="000000"/>
          <w:sz w:val="24"/>
          <w:highlight w:val="cyan"/>
        </w:rPr>
        <w:t>b) AMPV norādījumi</w:t>
      </w:r>
    </w:p>
    <w:p w14:paraId="57F11942" w14:textId="77777777" w:rsidR="007E5128" w:rsidRPr="00395802" w:rsidRDefault="007E5128" w:rsidP="00192C27">
      <w:pPr>
        <w:spacing w:before="120"/>
        <w:ind w:left="284"/>
        <w:jc w:val="both"/>
        <w:rPr>
          <w:rFonts w:ascii="Times New Roman" w:hAnsi="Times New Roman"/>
          <w:noProof/>
          <w:color w:val="000000"/>
          <w:sz w:val="24"/>
        </w:rPr>
      </w:pPr>
      <w:r>
        <w:rPr>
          <w:rFonts w:ascii="Times New Roman" w:hAnsi="Times New Roman"/>
          <w:color w:val="000000"/>
          <w:sz w:val="24"/>
          <w:highlight w:val="cyan"/>
        </w:rPr>
        <w:t xml:space="preserve">Pazīmes, kas liecina par nepieciešamību ierosināt </w:t>
      </w:r>
      <w:r>
        <w:rPr>
          <w:rFonts w:ascii="Times New Roman" w:hAnsi="Times New Roman"/>
          <w:i/>
          <w:iCs/>
          <w:color w:val="000000"/>
          <w:sz w:val="24"/>
          <w:highlight w:val="cyan"/>
        </w:rPr>
        <w:t>OSA</w:t>
      </w:r>
      <w:r>
        <w:rPr>
          <w:rFonts w:ascii="Times New Roman" w:hAnsi="Times New Roman"/>
          <w:color w:val="000000"/>
          <w:sz w:val="24"/>
          <w:highlight w:val="cyan"/>
        </w:rPr>
        <w:t xml:space="preserve"> izvērtējumu:</w:t>
      </w:r>
    </w:p>
    <w:p w14:paraId="46B0BE9C" w14:textId="77777777" w:rsidR="00AE44F7" w:rsidRPr="00AE44F7" w:rsidRDefault="007E5128" w:rsidP="00192C27">
      <w:pPr>
        <w:pStyle w:val="ListParagraph"/>
        <w:numPr>
          <w:ilvl w:val="0"/>
          <w:numId w:val="12"/>
        </w:numPr>
        <w:spacing w:before="120"/>
        <w:ind w:left="714" w:hanging="357"/>
        <w:jc w:val="both"/>
        <w:rPr>
          <w:rFonts w:ascii="Times New Roman" w:hAnsi="Times New Roman"/>
          <w:noProof/>
          <w:color w:val="000000"/>
          <w:sz w:val="24"/>
          <w:highlight w:val="cyan"/>
        </w:rPr>
      </w:pPr>
      <w:r>
        <w:rPr>
          <w:rFonts w:ascii="Times New Roman" w:hAnsi="Times New Roman"/>
          <w:color w:val="000000"/>
          <w:sz w:val="24"/>
          <w:highlight w:val="cyan"/>
        </w:rPr>
        <w:t>anamnestiska intervija, kurā ietverti vismaz šādi jautājumi:</w:t>
      </w:r>
    </w:p>
    <w:p w14:paraId="5EE392F6" w14:textId="77777777" w:rsidR="00AE44F7" w:rsidRP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miegainība dienas laikā (t. i., Epvortas miegainības skala);</w:t>
      </w:r>
    </w:p>
    <w:p w14:paraId="06F0418D" w14:textId="77777777" w:rsidR="00AE44F7" w:rsidRP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krākšana (ko saka laulātais/partneris);</w:t>
      </w:r>
    </w:p>
    <w:p w14:paraId="0979F8A5" w14:textId="77777777" w:rsidR="00AE44F7" w:rsidRP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psihosociālas problēmas miegainības, smagas krākšanas dēļ;</w:t>
      </w:r>
    </w:p>
    <w:p w14:paraId="27E587CC"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lastRenderedPageBreak/>
        <w:t>novērojamas apnojas epizodes.</w:t>
      </w:r>
    </w:p>
    <w:p w14:paraId="159E9CA0"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Veicinošie faktori:</w:t>
      </w:r>
    </w:p>
    <w:p w14:paraId="36652D95"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i/>
          <w:iCs/>
          <w:color w:val="000000"/>
          <w:sz w:val="24"/>
          <w:highlight w:val="cyan"/>
        </w:rPr>
        <w:t>BMI</w:t>
      </w:r>
      <w:r>
        <w:rPr>
          <w:rFonts w:ascii="Times New Roman" w:hAnsi="Times New Roman"/>
          <w:color w:val="000000"/>
          <w:sz w:val="24"/>
          <w:highlight w:val="cyan"/>
        </w:rPr>
        <w:t> &gt;30:</w:t>
      </w:r>
    </w:p>
    <w:p w14:paraId="0278D454" w14:textId="77777777" w:rsidR="00AE44F7" w:rsidRDefault="007E5128" w:rsidP="00192C27">
      <w:pPr>
        <w:pStyle w:val="ListParagraph"/>
        <w:numPr>
          <w:ilvl w:val="0"/>
          <w:numId w:val="12"/>
        </w:numPr>
        <w:spacing w:before="120"/>
        <w:ind w:left="1470" w:hanging="352"/>
        <w:jc w:val="both"/>
        <w:rPr>
          <w:rFonts w:ascii="Times New Roman" w:hAnsi="Times New Roman"/>
          <w:noProof/>
          <w:color w:val="000000"/>
          <w:sz w:val="24"/>
          <w:highlight w:val="cyan"/>
        </w:rPr>
      </w:pPr>
      <w:r>
        <w:rPr>
          <w:rFonts w:ascii="Times New Roman" w:hAnsi="Times New Roman"/>
          <w:color w:val="000000"/>
          <w:sz w:val="24"/>
          <w:highlight w:val="cyan"/>
        </w:rPr>
        <w:t>iepriekšēja bariatriskā vēsture.</w:t>
      </w:r>
    </w:p>
    <w:p w14:paraId="47EFD36D"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Kakla apkārtmērs: ≥ 40 cm.</w:t>
      </w:r>
    </w:p>
    <w:p w14:paraId="2DD49E90"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Diagnosticēta arteriālā hipertensija.</w:t>
      </w:r>
    </w:p>
    <w:p w14:paraId="33F04A1E"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Sirdsdarbības traucējumi:</w:t>
      </w:r>
    </w:p>
    <w:p w14:paraId="33B53163"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aritmija;</w:t>
      </w:r>
    </w:p>
    <w:p w14:paraId="1567F0C8"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sirds nepietiekamība;</w:t>
      </w:r>
    </w:p>
    <w:p w14:paraId="1DC1E81F"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i/>
          <w:iCs/>
          <w:color w:val="000000"/>
          <w:sz w:val="24"/>
          <w:highlight w:val="cyan"/>
        </w:rPr>
        <w:t>CHD</w:t>
      </w:r>
      <w:r>
        <w:rPr>
          <w:rFonts w:ascii="Times New Roman" w:hAnsi="Times New Roman"/>
          <w:color w:val="000000"/>
          <w:sz w:val="24"/>
          <w:highlight w:val="cyan"/>
        </w:rPr>
        <w:t>.</w:t>
      </w:r>
    </w:p>
    <w:p w14:paraId="2F082830"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 xml:space="preserve">Iepriekšēja </w:t>
      </w:r>
      <w:r>
        <w:rPr>
          <w:rFonts w:ascii="Times New Roman" w:hAnsi="Times New Roman"/>
          <w:i/>
          <w:iCs/>
          <w:color w:val="000000"/>
          <w:sz w:val="24"/>
          <w:highlight w:val="cyan"/>
        </w:rPr>
        <w:t>TIA</w:t>
      </w:r>
      <w:r>
        <w:rPr>
          <w:rFonts w:ascii="Times New Roman" w:hAnsi="Times New Roman"/>
          <w:color w:val="000000"/>
          <w:sz w:val="24"/>
          <w:highlight w:val="cyan"/>
        </w:rPr>
        <w:t>, insults.</w:t>
      </w:r>
    </w:p>
    <w:p w14:paraId="4A8B7F33"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2. tipa cukura diabēts.</w:t>
      </w:r>
    </w:p>
    <w:p w14:paraId="38DDCC3E"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i/>
          <w:iCs/>
          <w:color w:val="000000"/>
          <w:sz w:val="24"/>
          <w:highlight w:val="cyan"/>
        </w:rPr>
        <w:t>ENT</w:t>
      </w:r>
      <w:r>
        <w:rPr>
          <w:rFonts w:ascii="Times New Roman" w:hAnsi="Times New Roman"/>
          <w:color w:val="000000"/>
          <w:sz w:val="24"/>
          <w:highlight w:val="cyan"/>
        </w:rPr>
        <w:t>:</w:t>
      </w:r>
    </w:p>
    <w:p w14:paraId="25F11234"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deguna obstrukcija;</w:t>
      </w:r>
    </w:p>
    <w:p w14:paraId="2DF44FBD"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ortodontija/retrognātija;</w:t>
      </w:r>
    </w:p>
    <w:p w14:paraId="29F6B56F"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orofaringeālā pārbaude – piemēram, modificēta Mallampati [</w:t>
      </w:r>
      <w:r>
        <w:rPr>
          <w:rFonts w:ascii="Times New Roman" w:hAnsi="Times New Roman"/>
          <w:i/>
          <w:iCs/>
          <w:color w:val="000000"/>
          <w:sz w:val="24"/>
          <w:highlight w:val="cyan"/>
        </w:rPr>
        <w:t>Mallampati</w:t>
      </w:r>
      <w:r>
        <w:rPr>
          <w:rFonts w:ascii="Times New Roman" w:hAnsi="Times New Roman"/>
          <w:color w:val="000000"/>
          <w:sz w:val="24"/>
          <w:highlight w:val="cyan"/>
        </w:rPr>
        <w:t>] skala vai Frīdmana [</w:t>
      </w:r>
      <w:r>
        <w:rPr>
          <w:rFonts w:ascii="Times New Roman" w:hAnsi="Times New Roman"/>
          <w:i/>
          <w:iCs/>
          <w:color w:val="000000"/>
          <w:sz w:val="24"/>
          <w:highlight w:val="cyan"/>
        </w:rPr>
        <w:t>Friedman</w:t>
      </w:r>
      <w:r>
        <w:rPr>
          <w:rFonts w:ascii="Times New Roman" w:hAnsi="Times New Roman"/>
          <w:color w:val="000000"/>
          <w:sz w:val="24"/>
          <w:highlight w:val="cyan"/>
        </w:rPr>
        <w:t>] mēles pozīcijas skala</w:t>
      </w:r>
      <w:r>
        <w:rPr>
          <w:rFonts w:ascii="Times New Roman" w:hAnsi="Times New Roman"/>
          <w:color w:val="000000"/>
          <w:sz w:val="24"/>
        </w:rPr>
        <w:t>.</w:t>
      </w:r>
    </w:p>
    <w:p w14:paraId="03F7FC05" w14:textId="77777777" w:rsidR="00AE44F7" w:rsidRPr="00AE44F7" w:rsidRDefault="00AE44F7" w:rsidP="00192C27">
      <w:pPr>
        <w:spacing w:before="120"/>
        <w:ind w:left="782"/>
        <w:jc w:val="both"/>
        <w:rPr>
          <w:rFonts w:ascii="Times New Roman" w:hAnsi="Times New Roman"/>
          <w:noProof/>
          <w:color w:val="000000"/>
          <w:sz w:val="24"/>
          <w:highlight w:val="cyan"/>
        </w:rPr>
      </w:pPr>
    </w:p>
    <w:p w14:paraId="4BE4AFE4" w14:textId="77777777" w:rsidR="00AE44F7" w:rsidRPr="00AE44F7" w:rsidRDefault="007E5128" w:rsidP="00192C27">
      <w:pPr>
        <w:tabs>
          <w:tab w:val="left" w:pos="709"/>
        </w:tabs>
        <w:spacing w:before="120"/>
        <w:ind w:left="364"/>
        <w:jc w:val="both"/>
        <w:rPr>
          <w:rFonts w:ascii="Times New Roman" w:hAnsi="Times New Roman"/>
          <w:noProof/>
          <w:color w:val="000000"/>
          <w:sz w:val="24"/>
          <w:highlight w:val="cyan"/>
        </w:rPr>
      </w:pPr>
      <w:r>
        <w:rPr>
          <w:rFonts w:ascii="Times New Roman" w:hAnsi="Times New Roman"/>
          <w:color w:val="000000"/>
          <w:sz w:val="24"/>
          <w:highlight w:val="cyan"/>
        </w:rPr>
        <w:t>Metodoloģija (ja norādīta):</w:t>
      </w:r>
    </w:p>
    <w:p w14:paraId="60890E8C"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nakts oksimetrija;</w:t>
      </w:r>
    </w:p>
    <w:p w14:paraId="4F37B451"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elpošanas poligrāfija;</w:t>
      </w:r>
    </w:p>
    <w:p w14:paraId="32BF2FB9"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polisomnogrāfija sertificētās miega laboratorijās;</w:t>
      </w:r>
    </w:p>
    <w:p w14:paraId="6CC638C6" w14:textId="77777777" w:rsidR="00AE44F7" w:rsidRDefault="007E5128" w:rsidP="00192C27">
      <w:pPr>
        <w:pStyle w:val="ListParagraph"/>
        <w:numPr>
          <w:ilvl w:val="0"/>
          <w:numId w:val="12"/>
        </w:numPr>
        <w:spacing w:before="120"/>
        <w:ind w:left="709" w:hanging="352"/>
        <w:jc w:val="both"/>
        <w:rPr>
          <w:rFonts w:ascii="Times New Roman" w:hAnsi="Times New Roman"/>
          <w:noProof/>
          <w:color w:val="000000"/>
          <w:sz w:val="24"/>
          <w:highlight w:val="cyan"/>
        </w:rPr>
      </w:pPr>
      <w:r>
        <w:rPr>
          <w:rFonts w:ascii="Times New Roman" w:hAnsi="Times New Roman"/>
          <w:color w:val="000000"/>
          <w:sz w:val="24"/>
          <w:highlight w:val="cyan"/>
        </w:rPr>
        <w:t>eventuāls modrības novērtējums:</w:t>
      </w:r>
    </w:p>
    <w:p w14:paraId="1AB1E693" w14:textId="77777777" w:rsid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nomoda uzturēšanas tests (</w:t>
      </w:r>
      <w:r>
        <w:rPr>
          <w:rFonts w:ascii="Times New Roman" w:hAnsi="Times New Roman"/>
          <w:i/>
          <w:iCs/>
          <w:color w:val="000000"/>
          <w:sz w:val="24"/>
          <w:highlight w:val="cyan"/>
        </w:rPr>
        <w:t>MWT</w:t>
      </w:r>
      <w:r>
        <w:rPr>
          <w:rFonts w:ascii="Times New Roman" w:hAnsi="Times New Roman"/>
          <w:color w:val="000000"/>
          <w:sz w:val="24"/>
          <w:highlight w:val="cyan"/>
        </w:rPr>
        <w:t>);</w:t>
      </w:r>
    </w:p>
    <w:p w14:paraId="7F1C5879" w14:textId="2BBA072C" w:rsidR="007E5128" w:rsidRPr="00AE44F7" w:rsidRDefault="007E5128" w:rsidP="00192C27">
      <w:pPr>
        <w:pStyle w:val="ListParagraph"/>
        <w:numPr>
          <w:ilvl w:val="0"/>
          <w:numId w:val="12"/>
        </w:numPr>
        <w:spacing w:before="120"/>
        <w:ind w:left="1134" w:hanging="352"/>
        <w:jc w:val="both"/>
        <w:rPr>
          <w:rFonts w:ascii="Times New Roman" w:hAnsi="Times New Roman"/>
          <w:noProof/>
          <w:color w:val="000000"/>
          <w:sz w:val="24"/>
          <w:highlight w:val="cyan"/>
        </w:rPr>
      </w:pPr>
      <w:r>
        <w:rPr>
          <w:rFonts w:ascii="Times New Roman" w:hAnsi="Times New Roman"/>
          <w:color w:val="000000"/>
          <w:sz w:val="24"/>
          <w:highlight w:val="cyan"/>
        </w:rPr>
        <w:t>multiplais miega latences tests (</w:t>
      </w:r>
      <w:r>
        <w:rPr>
          <w:rFonts w:ascii="Times New Roman" w:hAnsi="Times New Roman"/>
          <w:i/>
          <w:iCs/>
          <w:color w:val="000000"/>
          <w:sz w:val="24"/>
          <w:highlight w:val="cyan"/>
        </w:rPr>
        <w:t>MSLT</w:t>
      </w:r>
      <w:r>
        <w:rPr>
          <w:rFonts w:ascii="Times New Roman" w:hAnsi="Times New Roman"/>
          <w:color w:val="000000"/>
          <w:sz w:val="24"/>
          <w:highlight w:val="cyan"/>
        </w:rPr>
        <w:t>).</w:t>
      </w:r>
    </w:p>
    <w:p w14:paraId="771D4343" w14:textId="77777777" w:rsidR="007E5128" w:rsidRPr="00395802" w:rsidRDefault="007E5128"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4906F10F" w14:textId="77777777" w:rsidTr="008162E2">
        <w:trPr>
          <w:trHeight w:val="520"/>
        </w:trPr>
        <w:tc>
          <w:tcPr>
            <w:tcW w:w="2488" w:type="pct"/>
            <w:tcBorders>
              <w:bottom w:val="nil"/>
              <w:right w:val="nil"/>
            </w:tcBorders>
          </w:tcPr>
          <w:p w14:paraId="38AA51A8" w14:textId="77777777" w:rsidR="007E5128" w:rsidRPr="00395802" w:rsidRDefault="007E5128" w:rsidP="00192C27">
            <w:pPr>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790B7EA8" w14:textId="77777777" w:rsidR="007E5128" w:rsidRPr="00395802" w:rsidRDefault="007E5128" w:rsidP="00192C27">
            <w:pPr>
              <w:ind w:left="57" w:right="57"/>
              <w:jc w:val="right"/>
              <w:rPr>
                <w:rFonts w:ascii="Times New Roman" w:hAnsi="Times New Roman"/>
                <w:i/>
                <w:noProof/>
                <w:sz w:val="24"/>
              </w:rPr>
            </w:pPr>
            <w:r>
              <w:rPr>
                <w:rFonts w:ascii="Times New Roman" w:hAnsi="Times New Roman"/>
                <w:i/>
                <w:sz w:val="24"/>
              </w:rPr>
              <w:t>RMT.0287.</w:t>
            </w:r>
          </w:p>
        </w:tc>
      </w:tr>
      <w:tr w:rsidR="007E5128" w:rsidRPr="00395802" w14:paraId="75AC93E4" w14:textId="77777777" w:rsidTr="008162E2">
        <w:trPr>
          <w:trHeight w:val="1924"/>
        </w:trPr>
        <w:tc>
          <w:tcPr>
            <w:tcW w:w="5000" w:type="pct"/>
            <w:gridSpan w:val="2"/>
            <w:tcBorders>
              <w:top w:val="nil"/>
            </w:tcBorders>
          </w:tcPr>
          <w:p w14:paraId="2A5ABA5F" w14:textId="77777777" w:rsidR="007E5128" w:rsidRPr="00395802" w:rsidRDefault="007E5128" w:rsidP="00192C27">
            <w:pPr>
              <w:ind w:left="57" w:right="57"/>
              <w:jc w:val="both"/>
              <w:rPr>
                <w:rFonts w:ascii="Times New Roman" w:hAnsi="Times New Roman"/>
                <w:noProof/>
                <w:sz w:val="24"/>
              </w:rPr>
            </w:pPr>
            <w:r>
              <w:rPr>
                <w:rFonts w:ascii="Times New Roman" w:hAnsi="Times New Roman"/>
                <w:sz w:val="24"/>
              </w:rPr>
              <w:t xml:space="preserve">Noteikumu sagatavošanas grupā un Medicīnas ekspertu grupas (MEG) diskusijās tika uzsvērta pienācīgas anamnestiskas intervijas un </w:t>
            </w:r>
            <w:r>
              <w:rPr>
                <w:rFonts w:ascii="Times New Roman" w:hAnsi="Times New Roman"/>
                <w:i/>
                <w:iCs/>
                <w:sz w:val="24"/>
              </w:rPr>
              <w:t>OSA</w:t>
            </w:r>
            <w:r>
              <w:rPr>
                <w:rFonts w:ascii="Times New Roman" w:hAnsi="Times New Roman"/>
                <w:sz w:val="24"/>
              </w:rPr>
              <w:t xml:space="preserve"> riska faktoru novērtējuma būtiskā nozīme, lai savlaicīgi atklātu pretendentus, kuri cieš no </w:t>
            </w:r>
            <w:r>
              <w:rPr>
                <w:rFonts w:ascii="Times New Roman" w:hAnsi="Times New Roman"/>
                <w:i/>
                <w:iCs/>
                <w:sz w:val="24"/>
              </w:rPr>
              <w:t>OSA</w:t>
            </w:r>
            <w:r>
              <w:rPr>
                <w:rFonts w:ascii="Times New Roman" w:hAnsi="Times New Roman"/>
                <w:sz w:val="24"/>
              </w:rPr>
              <w:t xml:space="preserve"> vai kuriem ir augsts </w:t>
            </w:r>
            <w:r>
              <w:rPr>
                <w:rFonts w:ascii="Times New Roman" w:hAnsi="Times New Roman"/>
                <w:i/>
                <w:iCs/>
                <w:sz w:val="24"/>
              </w:rPr>
              <w:t>OSA</w:t>
            </w:r>
            <w:r>
              <w:rPr>
                <w:rFonts w:ascii="Times New Roman" w:hAnsi="Times New Roman"/>
                <w:sz w:val="24"/>
              </w:rPr>
              <w:t xml:space="preserve"> risks, un lai piloti varētu iespējami ātri sākt ārstēšanu un riska faktoru pārvaldību ar mērķi samazināt ar </w:t>
            </w:r>
            <w:r>
              <w:rPr>
                <w:rFonts w:ascii="Times New Roman" w:hAnsi="Times New Roman"/>
                <w:i/>
                <w:iCs/>
                <w:sz w:val="24"/>
              </w:rPr>
              <w:t>OSA</w:t>
            </w:r>
            <w:r>
              <w:rPr>
                <w:rFonts w:ascii="Times New Roman" w:hAnsi="Times New Roman"/>
                <w:sz w:val="24"/>
              </w:rPr>
              <w:t xml:space="preserve"> saistītos riskus un turpināt veikt drošus lidojumus. Tāpēc šīs </w:t>
            </w:r>
            <w:r>
              <w:rPr>
                <w:rFonts w:ascii="Times New Roman" w:hAnsi="Times New Roman"/>
                <w:i/>
                <w:iCs/>
                <w:sz w:val="24"/>
              </w:rPr>
              <w:t>GM</w:t>
            </w:r>
            <w:r>
              <w:rPr>
                <w:rFonts w:ascii="Times New Roman" w:hAnsi="Times New Roman"/>
                <w:sz w:val="24"/>
              </w:rPr>
              <w:t xml:space="preserve"> tika pievienotas, lai sniegtu labākās prakses ieteikumus par to, kā veikt </w:t>
            </w:r>
            <w:r>
              <w:rPr>
                <w:rFonts w:ascii="Times New Roman" w:hAnsi="Times New Roman"/>
                <w:i/>
                <w:iCs/>
                <w:sz w:val="24"/>
              </w:rPr>
              <w:t>OSA</w:t>
            </w:r>
            <w:r>
              <w:rPr>
                <w:rFonts w:ascii="Times New Roman" w:hAnsi="Times New Roman"/>
                <w:sz w:val="24"/>
              </w:rPr>
              <w:t xml:space="preserve"> skrīningu un turpmāku izvērtēšanu.</w:t>
            </w:r>
          </w:p>
        </w:tc>
      </w:tr>
    </w:tbl>
    <w:p w14:paraId="245BF4BC" w14:textId="77777777" w:rsidR="00D2050C" w:rsidRPr="00395802" w:rsidRDefault="00D2050C" w:rsidP="00395802">
      <w:pPr>
        <w:jc w:val="both"/>
        <w:rPr>
          <w:rFonts w:ascii="Times New Roman" w:hAnsi="Times New Roman"/>
          <w:noProof/>
          <w:sz w:val="24"/>
        </w:rPr>
      </w:pPr>
    </w:p>
    <w:p w14:paraId="76BE4175" w14:textId="61469E9F" w:rsidR="007E5128" w:rsidRPr="00103C52" w:rsidRDefault="007E5128" w:rsidP="00221B5F">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MED.B.055. punktu “Garīgā veselība”</w:t>
      </w:r>
    </w:p>
    <w:p w14:paraId="4CD50F08" w14:textId="77777777" w:rsidR="00221B5F" w:rsidRDefault="00221B5F" w:rsidP="00395802">
      <w:pPr>
        <w:jc w:val="both"/>
        <w:rPr>
          <w:rFonts w:ascii="Times New Roman" w:hAnsi="Times New Roman"/>
          <w:noProof/>
          <w:sz w:val="24"/>
        </w:rPr>
      </w:pPr>
    </w:p>
    <w:p w14:paraId="7BE22DF2" w14:textId="77777777" w:rsidR="007E5128" w:rsidRDefault="007E5128" w:rsidP="00395802">
      <w:pPr>
        <w:jc w:val="both"/>
        <w:rPr>
          <w:rFonts w:ascii="Times New Roman" w:hAnsi="Times New Roman"/>
          <w:noProof/>
          <w:sz w:val="24"/>
        </w:rPr>
      </w:pPr>
      <w:r>
        <w:rPr>
          <w:rFonts w:ascii="Times New Roman" w:hAnsi="Times New Roman"/>
          <w:sz w:val="24"/>
        </w:rPr>
        <w:t>(..)</w:t>
      </w:r>
    </w:p>
    <w:p w14:paraId="5852F26F" w14:textId="77777777" w:rsidR="00221B5F" w:rsidRPr="00395802" w:rsidRDefault="00221B5F" w:rsidP="00395802">
      <w:pPr>
        <w:jc w:val="both"/>
        <w:rPr>
          <w:rFonts w:ascii="Times New Roman" w:hAnsi="Times New Roman"/>
          <w:noProof/>
          <w:sz w:val="24"/>
        </w:rPr>
      </w:pPr>
    </w:p>
    <w:p w14:paraId="2F099447" w14:textId="20916A3B" w:rsidR="007E5128" w:rsidRDefault="007E5128" w:rsidP="00395802">
      <w:pPr>
        <w:jc w:val="both"/>
        <w:rPr>
          <w:rFonts w:ascii="Times New Roman" w:hAnsi="Times New Roman"/>
          <w:noProof/>
          <w:sz w:val="24"/>
        </w:rPr>
      </w:pPr>
      <w:r>
        <w:rPr>
          <w:rFonts w:ascii="Times New Roman" w:hAnsi="Times New Roman"/>
          <w:sz w:val="24"/>
        </w:rPr>
        <w:t>e) Novērtēšana un lēmumi par nosūtīšanu</w:t>
      </w:r>
    </w:p>
    <w:p w14:paraId="7951670C" w14:textId="77777777" w:rsidR="00221B5F" w:rsidRPr="00395802" w:rsidRDefault="00221B5F" w:rsidP="00395802">
      <w:pPr>
        <w:jc w:val="both"/>
        <w:rPr>
          <w:rFonts w:ascii="Times New Roman" w:hAnsi="Times New Roman"/>
          <w:noProof/>
          <w:sz w:val="24"/>
        </w:rPr>
      </w:pPr>
    </w:p>
    <w:p w14:paraId="1D8A28E8" w14:textId="77777777" w:rsidR="007E5128" w:rsidRPr="00395802" w:rsidRDefault="007E5128" w:rsidP="00395802">
      <w:pPr>
        <w:jc w:val="both"/>
        <w:rPr>
          <w:rFonts w:ascii="Times New Roman" w:hAnsi="Times New Roman"/>
          <w:noProof/>
          <w:sz w:val="24"/>
        </w:rPr>
      </w:pPr>
      <w:r>
        <w:rPr>
          <w:rFonts w:ascii="Times New Roman" w:hAnsi="Times New Roman"/>
          <w:sz w:val="24"/>
        </w:rPr>
        <w:t>(..)</w:t>
      </w:r>
    </w:p>
    <w:p w14:paraId="369D5E9F" w14:textId="77777777" w:rsidR="007E5128" w:rsidRPr="00395802" w:rsidRDefault="007E5128" w:rsidP="00395802">
      <w:pPr>
        <w:jc w:val="both"/>
        <w:rPr>
          <w:rFonts w:ascii="Times New Roman" w:hAnsi="Times New Roman"/>
          <w:noProof/>
          <w:sz w:val="24"/>
        </w:rPr>
      </w:pPr>
    </w:p>
    <w:p w14:paraId="1C52DE86" w14:textId="11E794F4" w:rsidR="007E5128" w:rsidRPr="00395802" w:rsidRDefault="009605BA" w:rsidP="00192C27">
      <w:pPr>
        <w:spacing w:before="120"/>
        <w:ind w:left="284"/>
        <w:jc w:val="both"/>
        <w:rPr>
          <w:rFonts w:ascii="Times New Roman" w:hAnsi="Times New Roman"/>
          <w:noProof/>
          <w:color w:val="000000"/>
          <w:sz w:val="24"/>
          <w:highlight w:val="cyan"/>
        </w:rPr>
      </w:pPr>
      <w:r>
        <w:rPr>
          <w:rFonts w:ascii="Times New Roman" w:hAnsi="Times New Roman"/>
          <w:color w:val="000000"/>
          <w:sz w:val="24"/>
          <w:highlight w:val="cyan"/>
        </w:rPr>
        <w:t>10) Kognitīvie traucējumi</w:t>
      </w:r>
    </w:p>
    <w:p w14:paraId="322F78DF" w14:textId="1C409A6B" w:rsidR="007E5128" w:rsidRPr="009605BA" w:rsidRDefault="009605BA" w:rsidP="00192C27">
      <w:pPr>
        <w:spacing w:before="120"/>
        <w:ind w:left="1134"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i) Pretendentiem, kam novērotas kognitīvo traucējumu pazīmes, pirms apsvērt viņu piemērotības atzīšanu ir jāiziet atbilstoša neiropsihiatriskā izvērtēšana, lai novērtētu kognitīvo traucējumu smaguma pakāpi. Pretendentus ar nelieliem kognitīvajiem traucējumiem var atzīt par piemērotiem ar </w:t>
      </w:r>
      <w:r>
        <w:rPr>
          <w:rFonts w:ascii="Times New Roman" w:hAnsi="Times New Roman"/>
          <w:i/>
          <w:iCs/>
          <w:color w:val="000000"/>
          <w:sz w:val="24"/>
          <w:highlight w:val="cyan"/>
        </w:rPr>
        <w:t>OML</w:t>
      </w:r>
      <w:r>
        <w:rPr>
          <w:rFonts w:ascii="Times New Roman" w:hAnsi="Times New Roman"/>
          <w:color w:val="000000"/>
          <w:sz w:val="24"/>
          <w:highlight w:val="cyan"/>
        </w:rPr>
        <w:t xml:space="preserve"> ierobežojumu un regulāru kognitīvo spēju pasliktināšanās uzraudzību.</w:t>
      </w:r>
    </w:p>
    <w:p w14:paraId="623CD3B5" w14:textId="770CC0B3" w:rsidR="007E5128" w:rsidRDefault="009605BA" w:rsidP="00192C27">
      <w:pPr>
        <w:spacing w:before="120"/>
        <w:ind w:left="1134" w:hanging="426"/>
        <w:jc w:val="both"/>
        <w:rPr>
          <w:rFonts w:ascii="Times New Roman" w:hAnsi="Times New Roman"/>
          <w:noProof/>
          <w:color w:val="000000"/>
          <w:sz w:val="24"/>
        </w:rPr>
      </w:pPr>
      <w:r>
        <w:rPr>
          <w:rFonts w:ascii="Times New Roman" w:hAnsi="Times New Roman"/>
          <w:color w:val="000000"/>
          <w:sz w:val="24"/>
          <w:highlight w:val="cyan"/>
        </w:rPr>
        <w:t xml:space="preserve">ii) Attiecībā uz pretendentiem, kas vecāki par 60 gadiem un kas veic vienpilota </w:t>
      </w:r>
      <w:r>
        <w:rPr>
          <w:rFonts w:ascii="Times New Roman" w:hAnsi="Times New Roman"/>
          <w:i/>
          <w:iCs/>
          <w:color w:val="000000"/>
          <w:sz w:val="24"/>
          <w:highlight w:val="cyan"/>
        </w:rPr>
        <w:t>HEMS</w:t>
      </w:r>
      <w:r>
        <w:rPr>
          <w:rFonts w:ascii="Times New Roman" w:hAnsi="Times New Roman"/>
          <w:color w:val="000000"/>
          <w:sz w:val="24"/>
          <w:highlight w:val="cyan"/>
        </w:rPr>
        <w:t xml:space="preserve"> ekspluatāciju, AMPV ir jāpievērš īpaša uzmanība agrīnām kognitīvo spēju pasliktināšanās pazīmēm. Vispusīga izvērtējuma veikšana pie speciālista jāapsver, ja medicīnas eksperti ir saņēmuši informāciju no personāla, kas šiem pretendentiem vada regulāras mācības un pārbaudes saskaņā ar ORO.FC.230. punktu, vai no AMPV, kas veic periodiskas aviācijas medicīnas pārbaudes un ir dokumentējuši iespējamu kognitīvo spēju pasliktināšanos šādiem pilotiem.</w:t>
      </w:r>
    </w:p>
    <w:p w14:paraId="03857CEA" w14:textId="77777777" w:rsidR="009605BA" w:rsidRPr="00395802" w:rsidRDefault="009605BA" w:rsidP="00395802">
      <w:pPr>
        <w:jc w:val="both"/>
        <w:rPr>
          <w:rFonts w:ascii="Times New Roman" w:hAnsi="Times New Roman"/>
          <w:noProof/>
          <w:color w:val="000000"/>
          <w:sz w:val="24"/>
        </w:rPr>
      </w:pPr>
    </w:p>
    <w:p w14:paraId="5292B8A5" w14:textId="0F2737AE" w:rsidR="007E5128" w:rsidRPr="00395802" w:rsidRDefault="007E5128" w:rsidP="009605BA">
      <w:pPr>
        <w:ind w:left="284"/>
        <w:jc w:val="both"/>
        <w:rPr>
          <w:rFonts w:ascii="Times New Roman" w:hAnsi="Times New Roman"/>
          <w:noProof/>
          <w:sz w:val="24"/>
        </w:rPr>
      </w:pPr>
      <w:r>
        <w:rPr>
          <w:rFonts w:ascii="Times New Roman" w:hAnsi="Times New Roman"/>
          <w:strike/>
          <w:color w:val="FF0000"/>
          <w:sz w:val="24"/>
        </w:rPr>
        <w:t>10</w:t>
      </w:r>
      <w:r>
        <w:rPr>
          <w:rFonts w:ascii="Times New Roman" w:hAnsi="Times New Roman"/>
          <w:color w:val="000000"/>
          <w:sz w:val="24"/>
          <w:highlight w:val="cyan"/>
        </w:rPr>
        <w:t>11</w:t>
      </w:r>
      <w:r>
        <w:rPr>
          <w:rFonts w:ascii="Times New Roman" w:hAnsi="Times New Roman"/>
          <w:color w:val="000000"/>
          <w:sz w:val="24"/>
        </w:rPr>
        <w:t>) Novērtējums</w:t>
      </w:r>
    </w:p>
    <w:p w14:paraId="61C26F60" w14:textId="77777777" w:rsidR="007E5128" w:rsidRPr="00395802" w:rsidRDefault="007E5128" w:rsidP="00E77D95">
      <w:pPr>
        <w:ind w:left="709"/>
        <w:jc w:val="both"/>
        <w:rPr>
          <w:rFonts w:ascii="Times New Roman" w:hAnsi="Times New Roman"/>
          <w:noProof/>
          <w:sz w:val="24"/>
        </w:rPr>
      </w:pPr>
      <w:r>
        <w:rPr>
          <w:rFonts w:ascii="Times New Roman" w:hAnsi="Times New Roman"/>
          <w:sz w:val="24"/>
        </w:rPr>
        <w:t>Novērtējumā jāņem vērā, vai šādas ārstēšanas indikācijas, blaknes un atkarības riski, kā arī psihisko traucējumu specifika ir savienojama ar lidojuma drošumu.</w:t>
      </w:r>
    </w:p>
    <w:p w14:paraId="393DFB53" w14:textId="77777777" w:rsidR="00D2050C" w:rsidRPr="00395802" w:rsidRDefault="00D2050C" w:rsidP="00395802">
      <w:pPr>
        <w:jc w:val="both"/>
        <w:rPr>
          <w:rFonts w:ascii="Times New Roman" w:hAnsi="Times New Roman"/>
          <w:noProof/>
          <w:sz w:val="24"/>
        </w:rPr>
      </w:pPr>
    </w:p>
    <w:p w14:paraId="143635CA" w14:textId="77777777" w:rsidR="00221B5F" w:rsidRPr="00395802" w:rsidRDefault="00221B5F" w:rsidP="00221B5F">
      <w:pPr>
        <w:jc w:val="both"/>
        <w:rPr>
          <w:rFonts w:ascii="Times New Roman" w:hAnsi="Times New Roman"/>
          <w:noProof/>
          <w:sz w:val="24"/>
        </w:rPr>
      </w:pPr>
      <w:r>
        <w:rPr>
          <w:rFonts w:ascii="Times New Roman" w:hAnsi="Times New Roman"/>
          <w:sz w:val="24"/>
        </w:rPr>
        <w:t>(..)</w:t>
      </w:r>
    </w:p>
    <w:p w14:paraId="2079AFA9" w14:textId="77777777" w:rsidR="007E5128" w:rsidRPr="00395802" w:rsidRDefault="007E5128"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30E39290" w14:textId="77777777" w:rsidTr="00722BAA">
        <w:trPr>
          <w:trHeight w:val="520"/>
        </w:trPr>
        <w:tc>
          <w:tcPr>
            <w:tcW w:w="2488" w:type="pct"/>
            <w:tcBorders>
              <w:bottom w:val="nil"/>
              <w:right w:val="nil"/>
            </w:tcBorders>
          </w:tcPr>
          <w:p w14:paraId="7754A050" w14:textId="77777777" w:rsidR="007E5128" w:rsidRPr="00395802" w:rsidRDefault="007E5128" w:rsidP="00192C27">
            <w:pPr>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04970691" w14:textId="77777777" w:rsidR="007E5128" w:rsidRPr="00395802" w:rsidRDefault="007E5128" w:rsidP="00192C27">
            <w:pPr>
              <w:ind w:left="57" w:right="57"/>
              <w:jc w:val="right"/>
              <w:rPr>
                <w:rFonts w:ascii="Times New Roman" w:hAnsi="Times New Roman"/>
                <w:i/>
                <w:noProof/>
                <w:sz w:val="24"/>
              </w:rPr>
            </w:pPr>
            <w:r>
              <w:rPr>
                <w:rFonts w:ascii="Times New Roman" w:hAnsi="Times New Roman"/>
                <w:i/>
                <w:sz w:val="24"/>
              </w:rPr>
              <w:t>RMT.0287.</w:t>
            </w:r>
          </w:p>
        </w:tc>
      </w:tr>
      <w:tr w:rsidR="007E5128" w:rsidRPr="00395802" w14:paraId="7E9AA667" w14:textId="77777777" w:rsidTr="00833A1B">
        <w:trPr>
          <w:trHeight w:val="2308"/>
        </w:trPr>
        <w:tc>
          <w:tcPr>
            <w:tcW w:w="5000" w:type="pct"/>
            <w:gridSpan w:val="2"/>
            <w:tcBorders>
              <w:top w:val="nil"/>
            </w:tcBorders>
          </w:tcPr>
          <w:p w14:paraId="257A6665" w14:textId="77777777" w:rsidR="007E5128" w:rsidRPr="00395802" w:rsidRDefault="007E5128" w:rsidP="00192C27">
            <w:pPr>
              <w:ind w:left="57" w:right="57"/>
              <w:jc w:val="both"/>
              <w:rPr>
                <w:rFonts w:ascii="Times New Roman" w:hAnsi="Times New Roman"/>
                <w:noProof/>
                <w:sz w:val="24"/>
              </w:rPr>
            </w:pPr>
            <w:r>
              <w:rPr>
                <w:rFonts w:ascii="Times New Roman" w:hAnsi="Times New Roman"/>
                <w:sz w:val="24"/>
              </w:rPr>
              <w:t xml:space="preserve">Noteikumu sagatavošanas grupā un Medicīnas ekspertu grupas (MEG) diskusijās par pilota vecuma ierobežojuma atvieglojumiem </w:t>
            </w:r>
            <w:r>
              <w:rPr>
                <w:rFonts w:ascii="Times New Roman" w:hAnsi="Times New Roman"/>
                <w:i/>
                <w:iCs/>
                <w:sz w:val="24"/>
              </w:rPr>
              <w:t>HEMS</w:t>
            </w:r>
            <w:r>
              <w:rPr>
                <w:rFonts w:ascii="Times New Roman" w:hAnsi="Times New Roman"/>
                <w:sz w:val="24"/>
              </w:rPr>
              <w:t xml:space="preserve"> pilotiem tika uzsvērts, ka ir būtiski riska mazināšanas pasākumos iekļaut kognitīvās funkcijas novērtēšanu, lai varētu pamanīt kognitīvo spēju pasliktināšanās agrīnās pazīmes. Tajā pašā laikā diskusijās kļuva skaidrs, ka ir nepieciešams precizējums par to pretendentu piemērotību, kuri iesaistīti daudzpilotu lidojumos un kuriem ir kognitīvo traucējumu pazīmes.</w:t>
            </w:r>
          </w:p>
          <w:p w14:paraId="63B7007D" w14:textId="77777777" w:rsidR="007E5128" w:rsidRPr="00395802" w:rsidRDefault="007E5128" w:rsidP="00192C27">
            <w:pPr>
              <w:ind w:left="57" w:right="57"/>
              <w:jc w:val="both"/>
              <w:rPr>
                <w:rFonts w:ascii="Times New Roman" w:hAnsi="Times New Roman"/>
                <w:noProof/>
                <w:sz w:val="24"/>
              </w:rPr>
            </w:pPr>
            <w:r>
              <w:rPr>
                <w:rFonts w:ascii="Times New Roman" w:hAnsi="Times New Roman"/>
                <w:sz w:val="24"/>
              </w:rPr>
              <w:t>Tāpēc noteikumu sagatavošanas grupa ierosināja papildināt AMC1 par MED.B.055. punktu ar jaunu punktu, lai risinātu abus šos jautājumus.</w:t>
            </w:r>
          </w:p>
        </w:tc>
      </w:tr>
    </w:tbl>
    <w:p w14:paraId="0DEECC4F" w14:textId="77777777" w:rsidR="007E5128" w:rsidRPr="00395802" w:rsidRDefault="007E5128" w:rsidP="00395802">
      <w:pPr>
        <w:jc w:val="both"/>
        <w:rPr>
          <w:rFonts w:ascii="Times New Roman" w:hAnsi="Times New Roman"/>
          <w:noProof/>
          <w:sz w:val="24"/>
        </w:rPr>
      </w:pPr>
    </w:p>
    <w:p w14:paraId="1D20B52A" w14:textId="7CFA06D1" w:rsidR="007E5128" w:rsidRPr="00103C52" w:rsidRDefault="007E5128" w:rsidP="00833A1B">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MED.B.070. punktu “Redzes sistēma”</w:t>
      </w:r>
    </w:p>
    <w:p w14:paraId="405ED4F0" w14:textId="77777777" w:rsidR="00833A1B" w:rsidRDefault="00833A1B" w:rsidP="00395802">
      <w:pPr>
        <w:jc w:val="both"/>
        <w:rPr>
          <w:rFonts w:ascii="Times New Roman" w:hAnsi="Times New Roman"/>
          <w:noProof/>
          <w:sz w:val="24"/>
        </w:rPr>
      </w:pPr>
    </w:p>
    <w:p w14:paraId="0AD2C428" w14:textId="4F9E8C89" w:rsidR="007E5128" w:rsidRPr="00395802" w:rsidRDefault="00833A1B" w:rsidP="00395802">
      <w:pPr>
        <w:jc w:val="both"/>
        <w:rPr>
          <w:rFonts w:ascii="Times New Roman" w:hAnsi="Times New Roman"/>
          <w:noProof/>
          <w:sz w:val="24"/>
        </w:rPr>
      </w:pPr>
      <w:r>
        <w:rPr>
          <w:rFonts w:ascii="Times New Roman" w:hAnsi="Times New Roman"/>
          <w:sz w:val="24"/>
        </w:rPr>
        <w:t>a) Acu pārbaude</w:t>
      </w:r>
    </w:p>
    <w:p w14:paraId="52BBF956" w14:textId="4A228BB6" w:rsidR="007E5128" w:rsidRPr="00395802" w:rsidRDefault="00F46C61" w:rsidP="00192C27">
      <w:pPr>
        <w:spacing w:before="120"/>
        <w:ind w:left="709" w:hanging="426"/>
        <w:jc w:val="both"/>
        <w:rPr>
          <w:rFonts w:ascii="Times New Roman" w:hAnsi="Times New Roman"/>
          <w:noProof/>
          <w:sz w:val="24"/>
        </w:rPr>
      </w:pPr>
      <w:r>
        <w:rPr>
          <w:rFonts w:ascii="Times New Roman" w:hAnsi="Times New Roman"/>
          <w:sz w:val="24"/>
        </w:rPr>
        <w:t>1) Katrā aviācijas medicīnas pārbaudē jāveic pretendenta redzes stāvokļa un iespējamās acu patoloģijas novērtējums.</w:t>
      </w:r>
    </w:p>
    <w:p w14:paraId="3E191DF4" w14:textId="75250A20" w:rsidR="007E5128" w:rsidRPr="00395802" w:rsidRDefault="00F46C61" w:rsidP="00192C27">
      <w:pPr>
        <w:spacing w:before="120"/>
        <w:ind w:left="709" w:hanging="426"/>
        <w:jc w:val="both"/>
        <w:rPr>
          <w:rFonts w:ascii="Times New Roman" w:hAnsi="Times New Roman"/>
          <w:noProof/>
          <w:sz w:val="24"/>
        </w:rPr>
      </w:pPr>
      <w:r>
        <w:rPr>
          <w:rFonts w:ascii="Times New Roman" w:hAnsi="Times New Roman"/>
          <w:sz w:val="24"/>
        </w:rPr>
        <w:t>2) Visas novirzes no normas un neskaidrie gadījumi ir jāizvērtē oftalmologam. Oftalmoloģiska izmeklēšana jāveic vismaz būtiska nekoriģētas redzes asuma pasliktināšanās, koriģētas redzes asuma pasliktināšanās un/vai acu slimību, acu traumu vai acu operācijas gadījumos.</w:t>
      </w:r>
    </w:p>
    <w:p w14:paraId="649EF188" w14:textId="764E2354" w:rsidR="007E5128" w:rsidRPr="00395802" w:rsidRDefault="00F46C61" w:rsidP="00192C27">
      <w:pPr>
        <w:spacing w:before="120"/>
        <w:ind w:left="709" w:hanging="425"/>
        <w:jc w:val="both"/>
        <w:rPr>
          <w:rFonts w:ascii="Times New Roman" w:hAnsi="Times New Roman"/>
          <w:noProof/>
          <w:sz w:val="24"/>
        </w:rPr>
      </w:pPr>
      <w:r>
        <w:rPr>
          <w:rFonts w:ascii="Times New Roman" w:hAnsi="Times New Roman"/>
          <w:sz w:val="24"/>
        </w:rPr>
        <w:t>3) Ja kāda būtiska iemesla dēļ ir nepieciešami specializēti oftalmoloģiski izmeklējumi, veselības apliecībā tas ir jānorāda kā ierobežojums.</w:t>
      </w:r>
    </w:p>
    <w:p w14:paraId="40A4CAB8" w14:textId="6032A26E" w:rsidR="007E5128" w:rsidRPr="00395802" w:rsidRDefault="00CD3B5B" w:rsidP="00192C27">
      <w:pPr>
        <w:spacing w:before="120"/>
        <w:ind w:left="709" w:hanging="426"/>
        <w:jc w:val="both"/>
        <w:rPr>
          <w:rFonts w:ascii="Times New Roman" w:hAnsi="Times New Roman"/>
          <w:noProof/>
          <w:sz w:val="24"/>
        </w:rPr>
      </w:pPr>
      <w:r>
        <w:rPr>
          <w:rFonts w:ascii="Times New Roman" w:hAnsi="Times New Roman"/>
          <w:sz w:val="24"/>
        </w:rPr>
        <w:lastRenderedPageBreak/>
        <w:t>4) Vairāk nekā vienas acu slimības kumulatīvā ietekme jānovērtē oftalmologam.</w:t>
      </w:r>
    </w:p>
    <w:p w14:paraId="0D01C64B" w14:textId="5CAC7568" w:rsidR="007E5128" w:rsidRPr="00395802" w:rsidRDefault="00CD3B5B" w:rsidP="00192C27">
      <w:pPr>
        <w:spacing w:before="120"/>
        <w:ind w:left="709" w:hanging="426"/>
        <w:jc w:val="both"/>
        <w:rPr>
          <w:rFonts w:ascii="Times New Roman" w:hAnsi="Times New Roman"/>
          <w:noProof/>
          <w:color w:val="000000"/>
          <w:sz w:val="24"/>
        </w:rPr>
      </w:pPr>
      <w:r>
        <w:rPr>
          <w:rFonts w:ascii="Times New Roman" w:hAnsi="Times New Roman"/>
          <w:color w:val="000000"/>
          <w:sz w:val="24"/>
          <w:highlight w:val="cyan"/>
        </w:rPr>
        <w:t>5) Pārbaudē AMPV pienācīgi jāņem vērā novecošanas deģeneratīvā ietekme uz redzes sistēmu.</w:t>
      </w:r>
    </w:p>
    <w:p w14:paraId="47899F26" w14:textId="77777777" w:rsidR="00CD3B5B" w:rsidRDefault="00CD3B5B" w:rsidP="00395802">
      <w:pPr>
        <w:jc w:val="both"/>
        <w:rPr>
          <w:rFonts w:ascii="Times New Roman" w:hAnsi="Times New Roman"/>
          <w:noProof/>
          <w:sz w:val="24"/>
        </w:rPr>
      </w:pPr>
    </w:p>
    <w:p w14:paraId="1820EFBC" w14:textId="05AB4475" w:rsidR="007E5128" w:rsidRPr="00395802" w:rsidRDefault="00CD3B5B" w:rsidP="00395802">
      <w:pPr>
        <w:jc w:val="both"/>
        <w:rPr>
          <w:rFonts w:ascii="Times New Roman" w:hAnsi="Times New Roman"/>
          <w:noProof/>
          <w:sz w:val="24"/>
        </w:rPr>
      </w:pPr>
      <w:r>
        <w:rPr>
          <w:rFonts w:ascii="Times New Roman" w:hAnsi="Times New Roman"/>
          <w:sz w:val="24"/>
        </w:rPr>
        <w:t>b) Vispusīga acu pārbaude</w:t>
      </w:r>
    </w:p>
    <w:p w14:paraId="4299B386" w14:textId="77777777" w:rsidR="007E5128" w:rsidRPr="00395802" w:rsidRDefault="007E5128" w:rsidP="00192C27">
      <w:pPr>
        <w:spacing w:before="120"/>
        <w:ind w:left="284"/>
        <w:jc w:val="both"/>
        <w:rPr>
          <w:rFonts w:ascii="Times New Roman" w:hAnsi="Times New Roman"/>
          <w:noProof/>
          <w:sz w:val="24"/>
        </w:rPr>
      </w:pPr>
      <w:r>
        <w:rPr>
          <w:rFonts w:ascii="Times New Roman" w:hAnsi="Times New Roman"/>
          <w:sz w:val="24"/>
        </w:rPr>
        <w:t>Pirmreizējā izmeklēšanā acu speciālistam ir jāveic vispusīga acu pārbaude. Visas novirzes no normas un neskaidrie gadījumi ir jāizvērtē oftalmologam. Izmeklēšanā jāiekļauj:</w:t>
      </w:r>
    </w:p>
    <w:p w14:paraId="1D88E650" w14:textId="69D6BE65" w:rsidR="007E5128" w:rsidRPr="00395802" w:rsidRDefault="00326436" w:rsidP="00192C27">
      <w:pPr>
        <w:spacing w:before="120"/>
        <w:ind w:left="284"/>
        <w:jc w:val="both"/>
        <w:rPr>
          <w:rFonts w:ascii="Times New Roman" w:hAnsi="Times New Roman"/>
          <w:noProof/>
          <w:sz w:val="24"/>
        </w:rPr>
      </w:pPr>
      <w:r>
        <w:rPr>
          <w:rFonts w:ascii="Times New Roman" w:hAnsi="Times New Roman"/>
          <w:sz w:val="24"/>
        </w:rPr>
        <w:t>1) anamnēzes izskatīšana;</w:t>
      </w:r>
    </w:p>
    <w:p w14:paraId="27F83B3E" w14:textId="4FDC95A8" w:rsidR="007E5128" w:rsidRPr="00395802" w:rsidRDefault="00326436" w:rsidP="00192C27">
      <w:pPr>
        <w:spacing w:before="120"/>
        <w:ind w:left="709" w:hanging="425"/>
        <w:jc w:val="both"/>
        <w:rPr>
          <w:rFonts w:ascii="Times New Roman" w:hAnsi="Times New Roman"/>
          <w:noProof/>
          <w:color w:val="000000"/>
          <w:sz w:val="24"/>
        </w:rPr>
      </w:pPr>
      <w:r>
        <w:rPr>
          <w:rFonts w:ascii="Times New Roman" w:hAnsi="Times New Roman"/>
          <w:sz w:val="24"/>
        </w:rPr>
        <w:t xml:space="preserve">2) redzes asuma pārbaude – tuvās, vidējās un tāluma redzes pārbaude (bez korekcijas un ar labāko optisko korekciju nepieciešamības gadījumā). </w:t>
      </w:r>
      <w:r>
        <w:rPr>
          <w:rFonts w:ascii="Times New Roman" w:hAnsi="Times New Roman"/>
          <w:color w:val="000000"/>
          <w:sz w:val="24"/>
          <w:highlight w:val="cyan"/>
        </w:rPr>
        <w:t>Ja ir novērojama redzes asuma pasliktināšanās, var tikt apsvērtas papildu specializētas pārbaudes atkarībā no tā, par kādu patoloģiju pastāv aizdomas;</w:t>
      </w:r>
    </w:p>
    <w:p w14:paraId="79058B7E" w14:textId="51D27C93" w:rsidR="007E5128" w:rsidRPr="00395802" w:rsidRDefault="00326436" w:rsidP="00192C27">
      <w:pPr>
        <w:spacing w:before="120"/>
        <w:ind w:left="709" w:hanging="426"/>
        <w:jc w:val="both"/>
        <w:rPr>
          <w:rFonts w:ascii="Times New Roman" w:hAnsi="Times New Roman"/>
          <w:noProof/>
          <w:sz w:val="24"/>
        </w:rPr>
      </w:pPr>
      <w:r>
        <w:rPr>
          <w:rFonts w:ascii="Times New Roman" w:hAnsi="Times New Roman"/>
          <w:sz w:val="24"/>
        </w:rPr>
        <w:t>3) ārējās acs, acs anatomijas, acs priekšējās daļas (ar spraugas lampu) un fundoskopiskā izmeklēšana;</w:t>
      </w:r>
    </w:p>
    <w:p w14:paraId="64C55609" w14:textId="2FDE667B" w:rsidR="007E5128" w:rsidRPr="00395802" w:rsidRDefault="00FC0D8B" w:rsidP="00192C27">
      <w:pPr>
        <w:spacing w:before="120"/>
        <w:ind w:left="284"/>
        <w:jc w:val="both"/>
        <w:rPr>
          <w:rFonts w:ascii="Times New Roman" w:hAnsi="Times New Roman"/>
          <w:noProof/>
          <w:sz w:val="24"/>
        </w:rPr>
      </w:pPr>
      <w:r>
        <w:rPr>
          <w:rFonts w:ascii="Times New Roman" w:hAnsi="Times New Roman"/>
          <w:sz w:val="24"/>
        </w:rPr>
        <w:t>4) acs ābolu kustības;</w:t>
      </w:r>
    </w:p>
    <w:p w14:paraId="01827B74" w14:textId="155A3679" w:rsidR="007E5128" w:rsidRPr="00395802" w:rsidRDefault="00FC0D8B" w:rsidP="00192C27">
      <w:pPr>
        <w:spacing w:before="120"/>
        <w:ind w:left="284"/>
        <w:jc w:val="both"/>
        <w:rPr>
          <w:rFonts w:ascii="Times New Roman" w:hAnsi="Times New Roman"/>
          <w:noProof/>
          <w:sz w:val="24"/>
        </w:rPr>
      </w:pPr>
      <w:r>
        <w:rPr>
          <w:rFonts w:ascii="Times New Roman" w:hAnsi="Times New Roman"/>
          <w:sz w:val="24"/>
        </w:rPr>
        <w:t>5) binokulārā redze;</w:t>
      </w:r>
    </w:p>
    <w:p w14:paraId="05C6BF00" w14:textId="739C8D1D" w:rsidR="007E5128" w:rsidRPr="00395802" w:rsidRDefault="00462C64" w:rsidP="00192C27">
      <w:pPr>
        <w:spacing w:before="120"/>
        <w:ind w:left="284"/>
        <w:jc w:val="both"/>
        <w:rPr>
          <w:rFonts w:ascii="Times New Roman" w:hAnsi="Times New Roman"/>
          <w:noProof/>
          <w:sz w:val="24"/>
        </w:rPr>
      </w:pPr>
      <w:r>
        <w:rPr>
          <w:rFonts w:ascii="Times New Roman" w:hAnsi="Times New Roman"/>
          <w:sz w:val="24"/>
        </w:rPr>
        <w:t>6) redzes lauku pārbaude;</w:t>
      </w:r>
    </w:p>
    <w:p w14:paraId="349A1CC6" w14:textId="015E935A" w:rsidR="007E5128" w:rsidRPr="00395802" w:rsidRDefault="00462C64" w:rsidP="00192C27">
      <w:pPr>
        <w:spacing w:before="120"/>
        <w:ind w:left="709" w:hanging="426"/>
        <w:jc w:val="both"/>
        <w:rPr>
          <w:rFonts w:ascii="Times New Roman" w:hAnsi="Times New Roman"/>
          <w:noProof/>
          <w:sz w:val="24"/>
        </w:rPr>
      </w:pPr>
      <w:r>
        <w:rPr>
          <w:rFonts w:ascii="Times New Roman" w:hAnsi="Times New Roman"/>
          <w:sz w:val="24"/>
        </w:rPr>
        <w:t xml:space="preserve">7) tonometrija atbilstoši klīniskām indikācijām </w:t>
      </w:r>
      <w:r>
        <w:rPr>
          <w:rFonts w:ascii="Times New Roman" w:hAnsi="Times New Roman"/>
          <w:color w:val="000000"/>
          <w:sz w:val="24"/>
          <w:highlight w:val="cyan"/>
        </w:rPr>
        <w:t>un visos gadījumos, kad ir nepieciešama vispusīga acu pārbaude pretendentiem, kas vecāki par 45 gadiem</w:t>
      </w:r>
      <w:r>
        <w:rPr>
          <w:rFonts w:ascii="Times New Roman" w:hAnsi="Times New Roman"/>
          <w:sz w:val="24"/>
        </w:rPr>
        <w:t>;</w:t>
      </w:r>
    </w:p>
    <w:p w14:paraId="174E98A1" w14:textId="66A2762F" w:rsidR="007E5128" w:rsidRPr="00395802" w:rsidRDefault="00462C64" w:rsidP="00192C27">
      <w:pPr>
        <w:spacing w:before="120"/>
        <w:ind w:left="709" w:hanging="426"/>
        <w:jc w:val="both"/>
        <w:rPr>
          <w:rFonts w:ascii="Times New Roman" w:hAnsi="Times New Roman"/>
          <w:noProof/>
          <w:sz w:val="24"/>
        </w:rPr>
      </w:pPr>
      <w:r>
        <w:rPr>
          <w:rFonts w:ascii="Times New Roman" w:hAnsi="Times New Roman"/>
          <w:sz w:val="24"/>
        </w:rPr>
        <w:t>8) objektīva refrakcija – pirmreizējā veselības pārbaudē pretendentam ar refrakcijas tālredzību, kas pārsniedz +2 dioptrijas, un vecumā līdz 25 gadiem jāveic objektīvā cikloplēģijas refrakcija;</w:t>
      </w:r>
    </w:p>
    <w:p w14:paraId="3D42119F" w14:textId="15498F28" w:rsidR="007E5128" w:rsidRPr="00395802" w:rsidRDefault="000D2E90" w:rsidP="00192C27">
      <w:pPr>
        <w:spacing w:before="120"/>
        <w:ind w:left="709" w:hanging="426"/>
        <w:jc w:val="both"/>
        <w:rPr>
          <w:rFonts w:ascii="Times New Roman" w:hAnsi="Times New Roman"/>
          <w:noProof/>
          <w:sz w:val="24"/>
        </w:rPr>
      </w:pPr>
      <w:r>
        <w:rPr>
          <w:rFonts w:ascii="Times New Roman" w:hAnsi="Times New Roman"/>
          <w:sz w:val="24"/>
        </w:rPr>
        <w:t>9) mezopiskā kontrasta jutības novērtējums un</w:t>
      </w:r>
    </w:p>
    <w:p w14:paraId="2AAADAA4" w14:textId="66F89C6F" w:rsidR="007E5128" w:rsidRPr="00395802" w:rsidRDefault="000D2E90" w:rsidP="00192C27">
      <w:pPr>
        <w:spacing w:before="120"/>
        <w:ind w:left="284"/>
        <w:jc w:val="both"/>
        <w:rPr>
          <w:rFonts w:ascii="Times New Roman" w:hAnsi="Times New Roman"/>
          <w:noProof/>
          <w:sz w:val="24"/>
        </w:rPr>
      </w:pPr>
      <w:r>
        <w:rPr>
          <w:rFonts w:ascii="Times New Roman" w:hAnsi="Times New Roman"/>
          <w:sz w:val="24"/>
        </w:rPr>
        <w:t>10) krāsu redzes pārbaude.</w:t>
      </w:r>
    </w:p>
    <w:p w14:paraId="3220117A" w14:textId="77777777" w:rsidR="000D2E90" w:rsidRDefault="000D2E90" w:rsidP="00395802">
      <w:pPr>
        <w:jc w:val="both"/>
        <w:rPr>
          <w:rFonts w:ascii="Times New Roman" w:hAnsi="Times New Roman"/>
          <w:noProof/>
          <w:sz w:val="24"/>
        </w:rPr>
      </w:pPr>
    </w:p>
    <w:p w14:paraId="77928783" w14:textId="2C15B039" w:rsidR="007E5128" w:rsidRPr="00395802" w:rsidRDefault="000D2E90" w:rsidP="00395802">
      <w:pPr>
        <w:jc w:val="both"/>
        <w:rPr>
          <w:rFonts w:ascii="Times New Roman" w:hAnsi="Times New Roman"/>
          <w:noProof/>
          <w:sz w:val="24"/>
        </w:rPr>
      </w:pPr>
      <w:r>
        <w:rPr>
          <w:rFonts w:ascii="Times New Roman" w:hAnsi="Times New Roman"/>
          <w:sz w:val="24"/>
        </w:rPr>
        <w:t>c) Kārtējā acu pārbaude</w:t>
      </w:r>
    </w:p>
    <w:p w14:paraId="4B65A6CC" w14:textId="77777777" w:rsidR="007E5128" w:rsidRPr="00395802" w:rsidRDefault="007E5128" w:rsidP="00192C27">
      <w:pPr>
        <w:spacing w:before="120"/>
        <w:ind w:left="284"/>
        <w:jc w:val="both"/>
        <w:rPr>
          <w:rFonts w:ascii="Times New Roman" w:hAnsi="Times New Roman"/>
          <w:noProof/>
          <w:sz w:val="24"/>
        </w:rPr>
      </w:pPr>
      <w:r>
        <w:rPr>
          <w:rFonts w:ascii="Times New Roman" w:hAnsi="Times New Roman"/>
          <w:sz w:val="24"/>
        </w:rPr>
        <w:t>Kārtējo acu pārbaudi var veikt AMPV, un tajā jāiekļauj:</w:t>
      </w:r>
    </w:p>
    <w:p w14:paraId="15BCC3D8" w14:textId="0092025B" w:rsidR="007E5128" w:rsidRPr="00395802" w:rsidRDefault="001A5587" w:rsidP="00192C27">
      <w:pPr>
        <w:spacing w:before="120"/>
        <w:ind w:left="709" w:hanging="426"/>
        <w:jc w:val="both"/>
        <w:rPr>
          <w:rFonts w:ascii="Times New Roman" w:hAnsi="Times New Roman"/>
          <w:noProof/>
          <w:sz w:val="24"/>
        </w:rPr>
      </w:pPr>
      <w:r>
        <w:rPr>
          <w:rFonts w:ascii="Times New Roman" w:hAnsi="Times New Roman"/>
          <w:sz w:val="24"/>
        </w:rPr>
        <w:t>1) anamnēzes izskatīšana;</w:t>
      </w:r>
    </w:p>
    <w:p w14:paraId="05B1DFE2" w14:textId="1B0DD293" w:rsidR="007E5128" w:rsidRPr="00395802" w:rsidRDefault="001728E3" w:rsidP="00192C27">
      <w:pPr>
        <w:spacing w:before="120"/>
        <w:ind w:left="709" w:hanging="426"/>
        <w:jc w:val="both"/>
        <w:rPr>
          <w:rFonts w:ascii="Times New Roman" w:hAnsi="Times New Roman"/>
          <w:noProof/>
          <w:sz w:val="24"/>
        </w:rPr>
      </w:pPr>
      <w:r>
        <w:rPr>
          <w:rFonts w:ascii="Times New Roman" w:hAnsi="Times New Roman"/>
          <w:sz w:val="24"/>
        </w:rPr>
        <w:t>2) redzes asuma pārbaude – tuvās, vidējās un tāluma redzes pārbaude (bez korekcijas un ar labāko optisko korekciju nepieciešamības gadījumā);</w:t>
      </w:r>
    </w:p>
    <w:p w14:paraId="13E68D3D" w14:textId="55D34D4E" w:rsidR="007E5128" w:rsidRPr="00395802" w:rsidRDefault="001C21E6" w:rsidP="00192C27">
      <w:pPr>
        <w:spacing w:before="120"/>
        <w:ind w:left="709" w:hanging="426"/>
        <w:jc w:val="both"/>
        <w:rPr>
          <w:rFonts w:ascii="Times New Roman" w:hAnsi="Times New Roman"/>
          <w:noProof/>
          <w:sz w:val="24"/>
        </w:rPr>
      </w:pPr>
      <w:r>
        <w:rPr>
          <w:rFonts w:ascii="Times New Roman" w:hAnsi="Times New Roman"/>
          <w:sz w:val="24"/>
        </w:rPr>
        <w:t>3) ārējās acs, acs anatomijas, acs priekšējās daļas pārbaude ar acs optisko aparātu un fundoskopu;</w:t>
      </w:r>
      <w:r>
        <w:rPr>
          <w:rFonts w:ascii="Times New Roman" w:hAnsi="Times New Roman"/>
          <w:strike/>
          <w:color w:val="FF0000"/>
          <w:sz w:val="24"/>
        </w:rPr>
        <w:t xml:space="preserve"> un</w:t>
      </w:r>
    </w:p>
    <w:p w14:paraId="0EC5101D" w14:textId="06FACBA4" w:rsidR="007E5128" w:rsidRPr="00395802" w:rsidRDefault="001C21E6" w:rsidP="00192C27">
      <w:pPr>
        <w:spacing w:before="120"/>
        <w:ind w:left="709" w:hanging="426"/>
        <w:jc w:val="both"/>
        <w:rPr>
          <w:rFonts w:ascii="Times New Roman" w:hAnsi="Times New Roman"/>
          <w:noProof/>
          <w:color w:val="000000"/>
          <w:sz w:val="24"/>
        </w:rPr>
      </w:pPr>
      <w:r>
        <w:rPr>
          <w:rFonts w:ascii="Times New Roman" w:hAnsi="Times New Roman"/>
          <w:color w:val="000000"/>
          <w:sz w:val="24"/>
        </w:rPr>
        <w:t xml:space="preserve">4) </w:t>
      </w:r>
      <w:r>
        <w:rPr>
          <w:rFonts w:ascii="Times New Roman" w:hAnsi="Times New Roman"/>
          <w:color w:val="000000"/>
          <w:sz w:val="24"/>
          <w:highlight w:val="cyan"/>
        </w:rPr>
        <w:t>kontrasta jutības novērtēšanas pārbaude pretendentiem, kas vecāki par 60 gadiem, un</w:t>
      </w:r>
    </w:p>
    <w:p w14:paraId="3907EFCB" w14:textId="600D68BD" w:rsidR="007E5128" w:rsidRPr="00395802" w:rsidRDefault="001C21E6" w:rsidP="00192C27">
      <w:pPr>
        <w:spacing w:before="120"/>
        <w:ind w:left="709" w:hanging="426"/>
        <w:jc w:val="both"/>
        <w:rPr>
          <w:rFonts w:ascii="Times New Roman" w:hAnsi="Times New Roman"/>
          <w:noProof/>
          <w:color w:val="000000"/>
          <w:sz w:val="24"/>
        </w:rPr>
      </w:pPr>
      <w:r>
        <w:rPr>
          <w:rFonts w:ascii="Times New Roman" w:hAnsi="Times New Roman"/>
          <w:color w:val="000000"/>
          <w:sz w:val="24"/>
          <w:highlight w:val="cyan"/>
        </w:rPr>
        <w:t>5)</w:t>
      </w:r>
      <w:r>
        <w:rPr>
          <w:rFonts w:ascii="Times New Roman" w:hAnsi="Times New Roman"/>
          <w:color w:val="000000"/>
          <w:sz w:val="24"/>
        </w:rPr>
        <w:t xml:space="preserve"> papildu izmeklējumi atbilstoši klīniskajām indikācijām.</w:t>
      </w:r>
    </w:p>
    <w:p w14:paraId="6176DC09" w14:textId="77777777" w:rsidR="0067552F" w:rsidRDefault="0067552F" w:rsidP="00395802">
      <w:pPr>
        <w:jc w:val="both"/>
        <w:rPr>
          <w:rFonts w:ascii="Times New Roman" w:hAnsi="Times New Roman"/>
          <w:noProof/>
          <w:sz w:val="24"/>
        </w:rPr>
      </w:pPr>
    </w:p>
    <w:p w14:paraId="22CD71EA" w14:textId="42C3A50F" w:rsidR="00D2050C" w:rsidRPr="00395802" w:rsidRDefault="007E5128" w:rsidP="00395802">
      <w:pPr>
        <w:jc w:val="both"/>
        <w:rPr>
          <w:rFonts w:ascii="Times New Roman" w:hAnsi="Times New Roman"/>
          <w:noProof/>
          <w:sz w:val="24"/>
        </w:rPr>
      </w:pPr>
      <w:r>
        <w:rPr>
          <w:rFonts w:ascii="Times New Roman" w:hAnsi="Times New Roman"/>
          <w:sz w:val="24"/>
        </w:rPr>
        <w:t>(..)</w:t>
      </w:r>
    </w:p>
    <w:p w14:paraId="78629530" w14:textId="77777777" w:rsidR="007E5128" w:rsidRPr="00395802" w:rsidRDefault="007E5128"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276466AA" w14:textId="77777777" w:rsidTr="00D75AAE">
        <w:trPr>
          <w:trHeight w:val="520"/>
        </w:trPr>
        <w:tc>
          <w:tcPr>
            <w:tcW w:w="2488" w:type="pct"/>
            <w:tcBorders>
              <w:bottom w:val="nil"/>
              <w:right w:val="nil"/>
            </w:tcBorders>
          </w:tcPr>
          <w:p w14:paraId="79024706" w14:textId="77777777" w:rsidR="007E5128" w:rsidRPr="00395802" w:rsidRDefault="007E5128" w:rsidP="00192C27">
            <w:pPr>
              <w:keepNext/>
              <w:keepLines/>
              <w:ind w:left="57" w:right="57"/>
              <w:jc w:val="both"/>
              <w:rPr>
                <w:rFonts w:ascii="Times New Roman" w:hAnsi="Times New Roman"/>
                <w:b/>
                <w:noProof/>
                <w:sz w:val="24"/>
              </w:rPr>
            </w:pPr>
            <w:r>
              <w:rPr>
                <w:rFonts w:ascii="Times New Roman" w:hAnsi="Times New Roman"/>
                <w:b/>
                <w:sz w:val="24"/>
              </w:rPr>
              <w:lastRenderedPageBreak/>
              <w:t>Pamatojums</w:t>
            </w:r>
          </w:p>
        </w:tc>
        <w:tc>
          <w:tcPr>
            <w:tcW w:w="2512" w:type="pct"/>
            <w:tcBorders>
              <w:left w:val="nil"/>
              <w:bottom w:val="nil"/>
            </w:tcBorders>
          </w:tcPr>
          <w:p w14:paraId="676BA34B" w14:textId="77777777" w:rsidR="007E5128" w:rsidRPr="00395802" w:rsidRDefault="007E5128" w:rsidP="00192C27">
            <w:pPr>
              <w:keepNext/>
              <w:keepLines/>
              <w:ind w:left="57" w:right="57"/>
              <w:jc w:val="right"/>
              <w:rPr>
                <w:rFonts w:ascii="Times New Roman" w:hAnsi="Times New Roman"/>
                <w:i/>
                <w:noProof/>
                <w:sz w:val="24"/>
              </w:rPr>
            </w:pPr>
            <w:r>
              <w:rPr>
                <w:rFonts w:ascii="Times New Roman" w:hAnsi="Times New Roman"/>
                <w:i/>
                <w:sz w:val="24"/>
              </w:rPr>
              <w:t>RMT.0287.</w:t>
            </w:r>
          </w:p>
        </w:tc>
      </w:tr>
      <w:tr w:rsidR="007E5128" w:rsidRPr="00395802" w14:paraId="160CB48A" w14:textId="77777777" w:rsidTr="00D75AAE">
        <w:trPr>
          <w:trHeight w:val="1484"/>
        </w:trPr>
        <w:tc>
          <w:tcPr>
            <w:tcW w:w="5000" w:type="pct"/>
            <w:gridSpan w:val="2"/>
            <w:tcBorders>
              <w:top w:val="nil"/>
            </w:tcBorders>
          </w:tcPr>
          <w:p w14:paraId="51C3493F" w14:textId="77777777" w:rsidR="007E5128" w:rsidRPr="00395802" w:rsidRDefault="007E5128" w:rsidP="00192C27">
            <w:pPr>
              <w:keepNext/>
              <w:keepLines/>
              <w:ind w:left="57" w:right="57"/>
              <w:jc w:val="both"/>
              <w:rPr>
                <w:rFonts w:ascii="Times New Roman" w:hAnsi="Times New Roman"/>
                <w:noProof/>
                <w:sz w:val="24"/>
              </w:rPr>
            </w:pPr>
            <w:r>
              <w:rPr>
                <w:rFonts w:ascii="Times New Roman" w:hAnsi="Times New Roman"/>
                <w:sz w:val="24"/>
              </w:rPr>
              <w:t xml:space="preserve">Pēc saņemtā drošuma ieteikuma </w:t>
            </w:r>
            <w:r>
              <w:rPr>
                <w:rFonts w:ascii="Times New Roman" w:hAnsi="Times New Roman"/>
                <w:i/>
                <w:iCs/>
                <w:sz w:val="24"/>
              </w:rPr>
              <w:t>EASA</w:t>
            </w:r>
            <w:r>
              <w:rPr>
                <w:rFonts w:ascii="Times New Roman" w:hAnsi="Times New Roman"/>
                <w:sz w:val="24"/>
              </w:rPr>
              <w:t xml:space="preserve"> ierosināja apspriest noteikumu sagatavošanas grupā un MEG sanāksmē nepieciešamību pieņemamajos atbilstības nodrošināšanas līdzekļos (</w:t>
            </w:r>
            <w:r>
              <w:rPr>
                <w:rFonts w:ascii="Times New Roman" w:hAnsi="Times New Roman"/>
                <w:i/>
                <w:iCs/>
                <w:sz w:val="24"/>
              </w:rPr>
              <w:t>AMC</w:t>
            </w:r>
            <w:r>
              <w:rPr>
                <w:rFonts w:ascii="Times New Roman" w:hAnsi="Times New Roman"/>
                <w:sz w:val="24"/>
              </w:rPr>
              <w:t>) uzsvērt novecošanas deģeneratīvo ietekmi uz redzes sistēmu, un jo īpaši uz redzes asumu un kontrasta jutīgumu.</w:t>
            </w:r>
          </w:p>
          <w:p w14:paraId="4BDDC649" w14:textId="77777777" w:rsidR="007E5128" w:rsidRPr="00395802" w:rsidRDefault="007E5128" w:rsidP="00192C27">
            <w:pPr>
              <w:keepNext/>
              <w:keepLines/>
              <w:ind w:left="57" w:right="57"/>
              <w:jc w:val="both"/>
              <w:rPr>
                <w:rFonts w:ascii="Times New Roman" w:hAnsi="Times New Roman"/>
                <w:noProof/>
                <w:sz w:val="24"/>
              </w:rPr>
            </w:pPr>
            <w:r>
              <w:rPr>
                <w:rFonts w:ascii="Times New Roman" w:hAnsi="Times New Roman"/>
                <w:sz w:val="24"/>
              </w:rPr>
              <w:t xml:space="preserve">Noteikumu sagatavošanas grupa pieņēma </w:t>
            </w:r>
            <w:r>
              <w:rPr>
                <w:rFonts w:ascii="Times New Roman" w:hAnsi="Times New Roman"/>
                <w:i/>
                <w:iCs/>
                <w:sz w:val="24"/>
              </w:rPr>
              <w:t>EASA</w:t>
            </w:r>
            <w:r>
              <w:rPr>
                <w:rFonts w:ascii="Times New Roman" w:hAnsi="Times New Roman"/>
                <w:sz w:val="24"/>
              </w:rPr>
              <w:t xml:space="preserve"> ierosinājumu, un </w:t>
            </w:r>
            <w:r>
              <w:rPr>
                <w:rFonts w:ascii="Times New Roman" w:hAnsi="Times New Roman"/>
                <w:i/>
                <w:iCs/>
                <w:sz w:val="24"/>
              </w:rPr>
              <w:t>AMC</w:t>
            </w:r>
            <w:r>
              <w:rPr>
                <w:rFonts w:ascii="Times New Roman" w:hAnsi="Times New Roman"/>
                <w:sz w:val="24"/>
              </w:rPr>
              <w:t xml:space="preserve"> tika atbilstoši atjaunināti.</w:t>
            </w:r>
          </w:p>
        </w:tc>
      </w:tr>
    </w:tbl>
    <w:p w14:paraId="0076D9B2" w14:textId="77777777" w:rsidR="007E5128" w:rsidRPr="00395802" w:rsidRDefault="007E5128" w:rsidP="00395802">
      <w:pPr>
        <w:jc w:val="both"/>
        <w:rPr>
          <w:rFonts w:ascii="Times New Roman" w:hAnsi="Times New Roman"/>
          <w:noProof/>
          <w:sz w:val="24"/>
        </w:rPr>
      </w:pPr>
    </w:p>
    <w:p w14:paraId="6A8A20AF" w14:textId="247E0D25" w:rsidR="007E5128" w:rsidRPr="00103C52" w:rsidRDefault="007E5128" w:rsidP="0067552F">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AMC2 par MED.B.070. punktu “Redzes sistēma”</w:t>
      </w:r>
    </w:p>
    <w:p w14:paraId="105EFAFE" w14:textId="77777777" w:rsidR="0067552F" w:rsidRDefault="0067552F" w:rsidP="00395802">
      <w:pPr>
        <w:jc w:val="both"/>
        <w:rPr>
          <w:rFonts w:ascii="Times New Roman" w:hAnsi="Times New Roman"/>
          <w:noProof/>
          <w:sz w:val="24"/>
        </w:rPr>
      </w:pPr>
    </w:p>
    <w:p w14:paraId="5014BB0E" w14:textId="4A045904" w:rsidR="007E5128" w:rsidRPr="00395802" w:rsidRDefault="0067552F" w:rsidP="00395802">
      <w:pPr>
        <w:jc w:val="both"/>
        <w:rPr>
          <w:rFonts w:ascii="Times New Roman" w:hAnsi="Times New Roman"/>
          <w:noProof/>
          <w:sz w:val="24"/>
        </w:rPr>
      </w:pPr>
      <w:r>
        <w:rPr>
          <w:rFonts w:ascii="Times New Roman" w:hAnsi="Times New Roman"/>
          <w:sz w:val="24"/>
        </w:rPr>
        <w:t>a) Acu pārbaude</w:t>
      </w:r>
    </w:p>
    <w:p w14:paraId="4658F974" w14:textId="16DFD3B4" w:rsidR="007E5128" w:rsidRPr="00395802" w:rsidRDefault="0067552F" w:rsidP="00192C27">
      <w:pPr>
        <w:spacing w:before="120"/>
        <w:ind w:left="709" w:hanging="426"/>
        <w:jc w:val="both"/>
        <w:rPr>
          <w:rFonts w:ascii="Times New Roman" w:hAnsi="Times New Roman"/>
          <w:noProof/>
          <w:sz w:val="24"/>
        </w:rPr>
      </w:pPr>
      <w:r>
        <w:rPr>
          <w:rFonts w:ascii="Times New Roman" w:hAnsi="Times New Roman"/>
          <w:sz w:val="24"/>
        </w:rPr>
        <w:t>1) Katrā aviācijas medicīnas atkārtotajā pārbaudē jāveic pretendenta redzes stāvokļa un iespējamās acu patoloģijas novērtējums. Oftalmoloģiska izmeklēšana jāveic arī vismaz būtiska nekoriģēta redzes asuma pasliktināšanās, koriģēta redzes asuma pasliktināšanās un/vai acu slimību, acu traumu vai acu ķirurģiskas ārstēšanas gadījumos.</w:t>
      </w:r>
    </w:p>
    <w:p w14:paraId="5E66AA29" w14:textId="2EB93F9C" w:rsidR="007E5128" w:rsidRPr="00395802" w:rsidRDefault="0067552F" w:rsidP="00192C27">
      <w:pPr>
        <w:spacing w:before="120"/>
        <w:ind w:left="284"/>
        <w:jc w:val="both"/>
        <w:rPr>
          <w:rFonts w:ascii="Times New Roman" w:hAnsi="Times New Roman"/>
          <w:noProof/>
          <w:sz w:val="24"/>
        </w:rPr>
      </w:pPr>
      <w:r>
        <w:rPr>
          <w:rFonts w:ascii="Times New Roman" w:hAnsi="Times New Roman"/>
          <w:sz w:val="24"/>
        </w:rPr>
        <w:t>2) Veicot pirmreizējo novērtējumu, pārbaudē jāietver:</w:t>
      </w:r>
    </w:p>
    <w:p w14:paraId="239ACAA0" w14:textId="50D42E35" w:rsidR="007E5128" w:rsidRPr="00395802" w:rsidRDefault="0067552F" w:rsidP="00192C27">
      <w:pPr>
        <w:spacing w:before="120"/>
        <w:ind w:left="993" w:hanging="426"/>
        <w:jc w:val="both"/>
        <w:rPr>
          <w:rFonts w:ascii="Times New Roman" w:hAnsi="Times New Roman"/>
          <w:noProof/>
          <w:sz w:val="24"/>
        </w:rPr>
      </w:pPr>
      <w:r>
        <w:rPr>
          <w:rFonts w:ascii="Times New Roman" w:hAnsi="Times New Roman"/>
          <w:sz w:val="24"/>
        </w:rPr>
        <w:t>i) anamnēzes izskatīšana;</w:t>
      </w:r>
    </w:p>
    <w:p w14:paraId="045C2CE7" w14:textId="165E0351" w:rsidR="007E5128" w:rsidRPr="00395802" w:rsidRDefault="0067552F" w:rsidP="00192C27">
      <w:pPr>
        <w:spacing w:before="120"/>
        <w:ind w:left="993" w:hanging="426"/>
        <w:jc w:val="both"/>
        <w:rPr>
          <w:rFonts w:ascii="Times New Roman" w:hAnsi="Times New Roman"/>
          <w:noProof/>
          <w:sz w:val="24"/>
        </w:rPr>
      </w:pPr>
      <w:r>
        <w:rPr>
          <w:rFonts w:ascii="Times New Roman" w:hAnsi="Times New Roman"/>
          <w:sz w:val="24"/>
        </w:rPr>
        <w:t>ii) redzes asuma pārbaude – tuvās, vidējās un tāluma redzes pārbaude (bez korekcijas un ar labāko optisko korekciju nepieciešamības gadījumā);</w:t>
      </w:r>
    </w:p>
    <w:p w14:paraId="5F33460D" w14:textId="20D12E3D" w:rsidR="007E5128" w:rsidRPr="00395802" w:rsidRDefault="0067552F" w:rsidP="00192C27">
      <w:pPr>
        <w:spacing w:before="120"/>
        <w:ind w:left="993" w:hanging="426"/>
        <w:jc w:val="both"/>
        <w:rPr>
          <w:rFonts w:ascii="Times New Roman" w:hAnsi="Times New Roman"/>
          <w:noProof/>
          <w:sz w:val="24"/>
        </w:rPr>
      </w:pPr>
      <w:r>
        <w:rPr>
          <w:rFonts w:ascii="Times New Roman" w:hAnsi="Times New Roman"/>
          <w:sz w:val="24"/>
        </w:rPr>
        <w:t>iii) ārējās acs, acs anatomijas, acs priekšējās daļas pārbaude ar acs optisko aparātu un fundoskopu;</w:t>
      </w:r>
    </w:p>
    <w:p w14:paraId="4D133A09" w14:textId="33D4B2FC" w:rsidR="007E5128" w:rsidRPr="00395802" w:rsidRDefault="00B72027" w:rsidP="00192C27">
      <w:pPr>
        <w:spacing w:before="120"/>
        <w:ind w:left="993" w:hanging="426"/>
        <w:jc w:val="both"/>
        <w:rPr>
          <w:rFonts w:ascii="Times New Roman" w:hAnsi="Times New Roman"/>
          <w:noProof/>
          <w:sz w:val="24"/>
        </w:rPr>
      </w:pPr>
      <w:r>
        <w:rPr>
          <w:rFonts w:ascii="Times New Roman" w:hAnsi="Times New Roman"/>
          <w:sz w:val="24"/>
        </w:rPr>
        <w:t>iv) acs ābolu kustības;</w:t>
      </w:r>
    </w:p>
    <w:p w14:paraId="75A658E3" w14:textId="0B4439A1" w:rsidR="007E5128" w:rsidRPr="00395802" w:rsidRDefault="00B72027" w:rsidP="00192C27">
      <w:pPr>
        <w:spacing w:before="120"/>
        <w:ind w:left="993" w:hanging="426"/>
        <w:jc w:val="both"/>
        <w:rPr>
          <w:rFonts w:ascii="Times New Roman" w:hAnsi="Times New Roman"/>
          <w:noProof/>
          <w:sz w:val="24"/>
        </w:rPr>
      </w:pPr>
      <w:r>
        <w:rPr>
          <w:rFonts w:ascii="Times New Roman" w:hAnsi="Times New Roman"/>
          <w:sz w:val="24"/>
        </w:rPr>
        <w:t>v) binokulārā redze;</w:t>
      </w:r>
    </w:p>
    <w:p w14:paraId="09ACF2B5" w14:textId="2F6860F2" w:rsidR="007E5128" w:rsidRPr="00395802" w:rsidRDefault="00B72027" w:rsidP="00192C27">
      <w:pPr>
        <w:spacing w:before="120"/>
        <w:ind w:left="993" w:hanging="426"/>
        <w:jc w:val="both"/>
        <w:rPr>
          <w:rFonts w:ascii="Times New Roman" w:hAnsi="Times New Roman"/>
          <w:noProof/>
          <w:sz w:val="24"/>
        </w:rPr>
      </w:pPr>
      <w:r>
        <w:rPr>
          <w:rFonts w:ascii="Times New Roman" w:hAnsi="Times New Roman"/>
          <w:sz w:val="24"/>
        </w:rPr>
        <w:t>vi) redzes lauku pārbaude;</w:t>
      </w:r>
    </w:p>
    <w:p w14:paraId="4AE7AF25" w14:textId="154F3D8C" w:rsidR="007E5128" w:rsidRPr="00395802" w:rsidRDefault="00B72027" w:rsidP="00192C27">
      <w:pPr>
        <w:spacing w:before="120"/>
        <w:ind w:left="993" w:hanging="426"/>
        <w:jc w:val="both"/>
        <w:rPr>
          <w:rFonts w:ascii="Times New Roman" w:hAnsi="Times New Roman"/>
          <w:noProof/>
          <w:sz w:val="24"/>
        </w:rPr>
      </w:pPr>
      <w:r>
        <w:rPr>
          <w:rFonts w:ascii="Times New Roman" w:hAnsi="Times New Roman"/>
          <w:sz w:val="24"/>
        </w:rPr>
        <w:t>vii) krāsu redzes pārbaude;</w:t>
      </w:r>
    </w:p>
    <w:p w14:paraId="3536EA6B" w14:textId="43B77583" w:rsidR="007E5128" w:rsidRPr="00395802" w:rsidRDefault="00B72027" w:rsidP="00192C27">
      <w:pPr>
        <w:spacing w:before="120"/>
        <w:ind w:left="993" w:hanging="426"/>
        <w:jc w:val="both"/>
        <w:rPr>
          <w:rFonts w:ascii="Times New Roman" w:hAnsi="Times New Roman"/>
          <w:noProof/>
          <w:sz w:val="24"/>
        </w:rPr>
      </w:pPr>
      <w:r>
        <w:rPr>
          <w:rFonts w:ascii="Times New Roman" w:hAnsi="Times New Roman"/>
          <w:sz w:val="24"/>
        </w:rPr>
        <w:t>viii) papildu izmeklējumi atbilstoši klīniskajām indikācijām.</w:t>
      </w:r>
    </w:p>
    <w:p w14:paraId="16CBEBC2" w14:textId="001E3E18" w:rsidR="007E5128" w:rsidRPr="00395802" w:rsidRDefault="004B4B97" w:rsidP="00192C27">
      <w:pPr>
        <w:spacing w:before="120"/>
        <w:ind w:left="709" w:hanging="425"/>
        <w:jc w:val="both"/>
        <w:rPr>
          <w:rFonts w:ascii="Times New Roman" w:hAnsi="Times New Roman"/>
          <w:noProof/>
          <w:sz w:val="24"/>
        </w:rPr>
      </w:pPr>
      <w:r>
        <w:rPr>
          <w:rFonts w:ascii="Times New Roman" w:hAnsi="Times New Roman"/>
          <w:sz w:val="24"/>
        </w:rPr>
        <w:t>3) Ja ir nepieciešama redzes korekcija, lai izpildītu redzes asuma prasības, ierodoties uz pirmreizējo novērtējumu, pretendentam jāuzrāda jaunākā briļļu recepte.</w:t>
      </w:r>
    </w:p>
    <w:p w14:paraId="28201FA2" w14:textId="1CEAC23E" w:rsidR="007E5128" w:rsidRPr="00395802" w:rsidRDefault="00333826" w:rsidP="00192C27">
      <w:pPr>
        <w:spacing w:before="120"/>
        <w:ind w:left="709" w:hanging="425"/>
        <w:jc w:val="both"/>
        <w:rPr>
          <w:rFonts w:ascii="Times New Roman" w:hAnsi="Times New Roman"/>
          <w:noProof/>
          <w:color w:val="000000"/>
          <w:sz w:val="24"/>
        </w:rPr>
      </w:pPr>
      <w:r>
        <w:rPr>
          <w:rFonts w:ascii="Times New Roman" w:hAnsi="Times New Roman"/>
          <w:color w:val="000000"/>
          <w:sz w:val="24"/>
          <w:highlight w:val="cyan"/>
        </w:rPr>
        <w:t>4) Pārbaudē AMPV pienācīgi jāņem vērā novecošanas deģeneratīvā ietekme uz redzes sistēmu.</w:t>
      </w:r>
    </w:p>
    <w:p w14:paraId="40CFEA82" w14:textId="07B761DE" w:rsidR="00333826" w:rsidRDefault="00333826" w:rsidP="00395802">
      <w:pPr>
        <w:jc w:val="both"/>
        <w:rPr>
          <w:rFonts w:ascii="Times New Roman" w:hAnsi="Times New Roman"/>
          <w:noProof/>
          <w:sz w:val="24"/>
        </w:rPr>
      </w:pPr>
    </w:p>
    <w:p w14:paraId="736A5F7E" w14:textId="0501ADBA" w:rsidR="007E5128" w:rsidRPr="00395802" w:rsidRDefault="00333826" w:rsidP="00327B2E">
      <w:pPr>
        <w:spacing w:before="120"/>
        <w:jc w:val="both"/>
        <w:rPr>
          <w:rFonts w:ascii="Times New Roman" w:hAnsi="Times New Roman"/>
          <w:noProof/>
          <w:sz w:val="24"/>
        </w:rPr>
      </w:pPr>
      <w:r>
        <w:rPr>
          <w:rFonts w:ascii="Times New Roman" w:hAnsi="Times New Roman"/>
          <w:sz w:val="24"/>
        </w:rPr>
        <w:t>b) Kārtējā acu pārbaude</w:t>
      </w:r>
    </w:p>
    <w:p w14:paraId="52DE5637" w14:textId="77777777" w:rsidR="007E5128" w:rsidRPr="00395802" w:rsidRDefault="007E5128" w:rsidP="00327B2E">
      <w:pPr>
        <w:spacing w:before="120"/>
        <w:ind w:left="284"/>
        <w:jc w:val="both"/>
        <w:rPr>
          <w:rFonts w:ascii="Times New Roman" w:hAnsi="Times New Roman"/>
          <w:noProof/>
          <w:sz w:val="24"/>
        </w:rPr>
      </w:pPr>
      <w:r>
        <w:rPr>
          <w:rFonts w:ascii="Times New Roman" w:hAnsi="Times New Roman"/>
          <w:sz w:val="24"/>
        </w:rPr>
        <w:t>Kārtējā acu pārbaudē jāietver:</w:t>
      </w:r>
    </w:p>
    <w:p w14:paraId="369E561F" w14:textId="21AB808D" w:rsidR="007E5128" w:rsidRPr="00395802" w:rsidRDefault="00364666" w:rsidP="00327B2E">
      <w:pPr>
        <w:spacing w:before="120"/>
        <w:ind w:left="709" w:hanging="426"/>
        <w:jc w:val="both"/>
        <w:rPr>
          <w:rFonts w:ascii="Times New Roman" w:hAnsi="Times New Roman"/>
          <w:noProof/>
          <w:sz w:val="24"/>
        </w:rPr>
      </w:pPr>
      <w:r>
        <w:rPr>
          <w:rFonts w:ascii="Times New Roman" w:hAnsi="Times New Roman"/>
          <w:sz w:val="24"/>
        </w:rPr>
        <w:t>1) anamnēzes izskatīšana;</w:t>
      </w:r>
    </w:p>
    <w:p w14:paraId="735AAA71" w14:textId="70F2B16F" w:rsidR="007E5128" w:rsidRPr="00395802" w:rsidRDefault="00364666" w:rsidP="00327B2E">
      <w:pPr>
        <w:spacing w:before="120"/>
        <w:ind w:left="709" w:hanging="426"/>
        <w:jc w:val="both"/>
        <w:rPr>
          <w:rFonts w:ascii="Times New Roman" w:hAnsi="Times New Roman"/>
          <w:noProof/>
          <w:sz w:val="24"/>
        </w:rPr>
      </w:pPr>
      <w:r>
        <w:rPr>
          <w:rFonts w:ascii="Times New Roman" w:hAnsi="Times New Roman"/>
          <w:sz w:val="24"/>
        </w:rPr>
        <w:t>2) redzes asuma pārbaude – tuvās, vidējās un tāluma redzes pārbaude (bez korekcijas un ar labāko optisko korekciju nepieciešamības gadījumā);</w:t>
      </w:r>
    </w:p>
    <w:p w14:paraId="7849A051" w14:textId="6F4BC38C" w:rsidR="007E5128" w:rsidRPr="00395802" w:rsidRDefault="0049414F" w:rsidP="00327B2E">
      <w:pPr>
        <w:spacing w:before="120"/>
        <w:ind w:left="709" w:hanging="426"/>
        <w:jc w:val="both"/>
        <w:rPr>
          <w:rFonts w:ascii="Times New Roman" w:hAnsi="Times New Roman"/>
          <w:noProof/>
          <w:sz w:val="24"/>
        </w:rPr>
      </w:pPr>
      <w:r>
        <w:rPr>
          <w:rFonts w:ascii="Times New Roman" w:hAnsi="Times New Roman"/>
          <w:sz w:val="24"/>
        </w:rPr>
        <w:t>3) ārējās acs, acs anatomijas, acs priekšējās daļas pārbaude ar acs optisko aparātu un fundoskopu;</w:t>
      </w:r>
    </w:p>
    <w:p w14:paraId="3B983997" w14:textId="556271FA" w:rsidR="007E5128" w:rsidRPr="00395802" w:rsidRDefault="0049414F" w:rsidP="00327B2E">
      <w:pPr>
        <w:spacing w:before="120"/>
        <w:ind w:left="709" w:hanging="426"/>
        <w:jc w:val="both"/>
        <w:rPr>
          <w:rFonts w:ascii="Times New Roman" w:hAnsi="Times New Roman"/>
          <w:noProof/>
          <w:color w:val="000000"/>
          <w:sz w:val="24"/>
        </w:rPr>
      </w:pPr>
      <w:r>
        <w:rPr>
          <w:rFonts w:ascii="Times New Roman" w:hAnsi="Times New Roman"/>
          <w:color w:val="000000"/>
          <w:sz w:val="24"/>
        </w:rPr>
        <w:t xml:space="preserve">4) </w:t>
      </w:r>
      <w:r>
        <w:rPr>
          <w:rFonts w:ascii="Times New Roman" w:hAnsi="Times New Roman"/>
          <w:color w:val="000000"/>
          <w:sz w:val="24"/>
          <w:highlight w:val="cyan"/>
        </w:rPr>
        <w:t>kontrasta jutības novērtēšanas pārbaude pretendentiem, kas vecāki par 60 gadiem, un</w:t>
      </w:r>
    </w:p>
    <w:p w14:paraId="6B95F5CE" w14:textId="64171D46" w:rsidR="007E5128" w:rsidRPr="00395802" w:rsidRDefault="0049414F" w:rsidP="00327B2E">
      <w:pPr>
        <w:spacing w:before="120"/>
        <w:ind w:left="709" w:hanging="426"/>
        <w:jc w:val="both"/>
        <w:rPr>
          <w:rFonts w:ascii="Times New Roman" w:hAnsi="Times New Roman"/>
          <w:noProof/>
          <w:color w:val="000000"/>
          <w:sz w:val="24"/>
        </w:rPr>
      </w:pPr>
      <w:r>
        <w:rPr>
          <w:rFonts w:ascii="Times New Roman" w:hAnsi="Times New Roman"/>
          <w:sz w:val="24"/>
          <w:highlight w:val="cyan"/>
        </w:rPr>
        <w:t>5)</w:t>
      </w:r>
      <w:r>
        <w:rPr>
          <w:rFonts w:ascii="Times New Roman" w:hAnsi="Times New Roman"/>
          <w:sz w:val="24"/>
        </w:rPr>
        <w:t xml:space="preserve"> papildu izmeklējumi atbilstoši klīniskajām indikācijām.</w:t>
      </w:r>
    </w:p>
    <w:p w14:paraId="66A1F216" w14:textId="77777777" w:rsidR="0049414F" w:rsidRDefault="0049414F" w:rsidP="00395802">
      <w:pPr>
        <w:jc w:val="both"/>
        <w:rPr>
          <w:rFonts w:ascii="Times New Roman" w:hAnsi="Times New Roman"/>
          <w:noProof/>
          <w:sz w:val="24"/>
        </w:rPr>
      </w:pPr>
    </w:p>
    <w:p w14:paraId="7303C476" w14:textId="0F37B185" w:rsidR="007E5128" w:rsidRPr="00395802" w:rsidRDefault="007E5128" w:rsidP="00395802">
      <w:pPr>
        <w:jc w:val="both"/>
        <w:rPr>
          <w:rFonts w:ascii="Times New Roman" w:hAnsi="Times New Roman"/>
          <w:noProof/>
          <w:sz w:val="24"/>
        </w:rPr>
      </w:pPr>
      <w:r>
        <w:rPr>
          <w:rFonts w:ascii="Times New Roman" w:hAnsi="Times New Roman"/>
          <w:sz w:val="24"/>
        </w:rPr>
        <w:t>(..)</w:t>
      </w:r>
    </w:p>
    <w:p w14:paraId="54877EE8" w14:textId="77777777" w:rsidR="007E5128" w:rsidRPr="00395802" w:rsidRDefault="007E5128" w:rsidP="00395802">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7E5128" w:rsidRPr="00395802" w14:paraId="66791A4D" w14:textId="77777777" w:rsidTr="00D75AAE">
        <w:trPr>
          <w:trHeight w:val="520"/>
        </w:trPr>
        <w:tc>
          <w:tcPr>
            <w:tcW w:w="2488" w:type="pct"/>
            <w:tcBorders>
              <w:bottom w:val="nil"/>
              <w:right w:val="nil"/>
            </w:tcBorders>
          </w:tcPr>
          <w:p w14:paraId="6D1C6B03" w14:textId="77777777" w:rsidR="007E5128" w:rsidRPr="00395802" w:rsidRDefault="007E5128" w:rsidP="00327B2E">
            <w:pPr>
              <w:ind w:left="57" w:right="57"/>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76423F08" w14:textId="77777777" w:rsidR="007E5128" w:rsidRPr="00395802" w:rsidRDefault="007E5128" w:rsidP="00327B2E">
            <w:pPr>
              <w:ind w:left="57" w:right="57"/>
              <w:jc w:val="right"/>
              <w:rPr>
                <w:rFonts w:ascii="Times New Roman" w:hAnsi="Times New Roman"/>
                <w:i/>
                <w:noProof/>
                <w:sz w:val="24"/>
              </w:rPr>
            </w:pPr>
            <w:r>
              <w:rPr>
                <w:rFonts w:ascii="Times New Roman" w:hAnsi="Times New Roman"/>
                <w:i/>
                <w:sz w:val="24"/>
              </w:rPr>
              <w:t>RMT.0287.</w:t>
            </w:r>
          </w:p>
        </w:tc>
      </w:tr>
      <w:tr w:rsidR="007E5128" w:rsidRPr="00395802" w14:paraId="1FDC7F65" w14:textId="77777777" w:rsidTr="00D75AAE">
        <w:trPr>
          <w:trHeight w:val="1482"/>
        </w:trPr>
        <w:tc>
          <w:tcPr>
            <w:tcW w:w="5000" w:type="pct"/>
            <w:gridSpan w:val="2"/>
            <w:tcBorders>
              <w:top w:val="nil"/>
            </w:tcBorders>
          </w:tcPr>
          <w:p w14:paraId="4EF2FAAD" w14:textId="77777777" w:rsidR="007E5128" w:rsidRPr="00395802" w:rsidRDefault="007E5128" w:rsidP="00327B2E">
            <w:pPr>
              <w:ind w:left="57" w:right="57"/>
              <w:jc w:val="both"/>
              <w:rPr>
                <w:rFonts w:ascii="Times New Roman" w:hAnsi="Times New Roman"/>
                <w:noProof/>
                <w:sz w:val="24"/>
              </w:rPr>
            </w:pPr>
            <w:r>
              <w:rPr>
                <w:rFonts w:ascii="Times New Roman" w:hAnsi="Times New Roman"/>
                <w:sz w:val="24"/>
              </w:rPr>
              <w:t xml:space="preserve">Pēc saņemtā drošuma ieteikuma </w:t>
            </w:r>
            <w:r>
              <w:rPr>
                <w:rFonts w:ascii="Times New Roman" w:hAnsi="Times New Roman"/>
                <w:i/>
                <w:iCs/>
                <w:sz w:val="24"/>
              </w:rPr>
              <w:t>EASA</w:t>
            </w:r>
            <w:r>
              <w:rPr>
                <w:rFonts w:ascii="Times New Roman" w:hAnsi="Times New Roman"/>
                <w:sz w:val="24"/>
              </w:rPr>
              <w:t xml:space="preserve"> ierosināja apspriest noteikumu sagatavošanas grupā un MEG sanāksmē nepieciešamību pieņemamajos atbilstības nodrošināšanas līdzekļos (</w:t>
            </w:r>
            <w:r>
              <w:rPr>
                <w:rFonts w:ascii="Times New Roman" w:hAnsi="Times New Roman"/>
                <w:i/>
                <w:iCs/>
                <w:sz w:val="24"/>
              </w:rPr>
              <w:t>AMC</w:t>
            </w:r>
            <w:r>
              <w:rPr>
                <w:rFonts w:ascii="Times New Roman" w:hAnsi="Times New Roman"/>
                <w:sz w:val="24"/>
              </w:rPr>
              <w:t>) uzsvērt novecošanas deģeneratīvo ietekmi uz redzes sistēmu, un jo īpaši uz redzes asumu un kontrasta jutīgumu.</w:t>
            </w:r>
          </w:p>
          <w:p w14:paraId="5A879E9B" w14:textId="77777777" w:rsidR="007E5128" w:rsidRPr="00395802" w:rsidRDefault="007E5128" w:rsidP="00327B2E">
            <w:pPr>
              <w:ind w:left="57" w:right="57"/>
              <w:jc w:val="both"/>
              <w:rPr>
                <w:rFonts w:ascii="Times New Roman" w:hAnsi="Times New Roman"/>
                <w:noProof/>
                <w:sz w:val="24"/>
              </w:rPr>
            </w:pPr>
            <w:r>
              <w:rPr>
                <w:rFonts w:ascii="Times New Roman" w:hAnsi="Times New Roman"/>
                <w:sz w:val="24"/>
              </w:rPr>
              <w:t xml:space="preserve">Noteikumu sagatavošanas grupa pieņēma </w:t>
            </w:r>
            <w:r>
              <w:rPr>
                <w:rFonts w:ascii="Times New Roman" w:hAnsi="Times New Roman"/>
                <w:i/>
                <w:iCs/>
                <w:sz w:val="24"/>
              </w:rPr>
              <w:t>EASA</w:t>
            </w:r>
            <w:r>
              <w:rPr>
                <w:rFonts w:ascii="Times New Roman" w:hAnsi="Times New Roman"/>
                <w:sz w:val="24"/>
              </w:rPr>
              <w:t xml:space="preserve"> ierosinājumu, un </w:t>
            </w:r>
            <w:r>
              <w:rPr>
                <w:rFonts w:ascii="Times New Roman" w:hAnsi="Times New Roman"/>
                <w:i/>
                <w:iCs/>
                <w:sz w:val="24"/>
              </w:rPr>
              <w:t>AMC</w:t>
            </w:r>
            <w:r>
              <w:rPr>
                <w:rFonts w:ascii="Times New Roman" w:hAnsi="Times New Roman"/>
                <w:sz w:val="24"/>
              </w:rPr>
              <w:t xml:space="preserve"> tika atbilstoši atjaunināti.</w:t>
            </w:r>
          </w:p>
        </w:tc>
      </w:tr>
    </w:tbl>
    <w:p w14:paraId="69100C6C" w14:textId="77777777" w:rsidR="007E5128" w:rsidRPr="00395802" w:rsidRDefault="007E5128" w:rsidP="00395802">
      <w:pPr>
        <w:jc w:val="both"/>
        <w:rPr>
          <w:rFonts w:ascii="Times New Roman" w:hAnsi="Times New Roman"/>
          <w:noProof/>
          <w:sz w:val="24"/>
        </w:rPr>
      </w:pPr>
    </w:p>
    <w:sectPr w:rsidR="007E5128" w:rsidRPr="00395802" w:rsidSect="00501B59">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CAD5" w14:textId="77777777" w:rsidR="00E20E5E" w:rsidRPr="007E5128" w:rsidRDefault="00E20E5E">
      <w:pPr>
        <w:rPr>
          <w:noProof/>
        </w:rPr>
      </w:pPr>
      <w:r w:rsidRPr="007E5128">
        <w:rPr>
          <w:noProof/>
        </w:rPr>
        <w:separator/>
      </w:r>
    </w:p>
  </w:endnote>
  <w:endnote w:type="continuationSeparator" w:id="0">
    <w:p w14:paraId="26906C57" w14:textId="77777777" w:rsidR="00E20E5E" w:rsidRPr="007E5128" w:rsidRDefault="00E20E5E">
      <w:pPr>
        <w:rPr>
          <w:noProof/>
        </w:rPr>
      </w:pPr>
      <w:r w:rsidRPr="007E5128">
        <w:rPr>
          <w:noProof/>
        </w:rPr>
        <w:continuationSeparator/>
      </w:r>
    </w:p>
  </w:endnote>
  <w:endnote w:type="continuationNotice" w:id="1">
    <w:p w14:paraId="4632CBC4" w14:textId="77777777" w:rsidR="00E20E5E" w:rsidRDefault="00E2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66A8" w14:textId="77777777" w:rsidR="002A39DA" w:rsidRPr="002A39DA" w:rsidRDefault="002A39DA" w:rsidP="002A39DA">
    <w:pPr>
      <w:tabs>
        <w:tab w:val="center" w:pos="4513"/>
        <w:tab w:val="right" w:pos="9026"/>
        <w:tab w:val="left" w:pos="9072"/>
      </w:tabs>
      <w:autoSpaceDE/>
      <w:autoSpaceDN/>
      <w:rPr>
        <w:rFonts w:ascii="Times New Roman" w:eastAsiaTheme="minorHAnsi" w:hAnsi="Times New Roman" w:cs="Times New Roman"/>
        <w:sz w:val="20"/>
        <w:szCs w:val="18"/>
      </w:rPr>
    </w:pPr>
  </w:p>
  <w:p w14:paraId="77420AFA" w14:textId="77777777" w:rsidR="002A39DA" w:rsidRPr="002A39DA" w:rsidRDefault="002A39DA" w:rsidP="002A39DA">
    <w:pPr>
      <w:tabs>
        <w:tab w:val="right" w:leader="underscore" w:pos="9072"/>
      </w:tabs>
      <w:autoSpaceDE/>
      <w:autoSpaceDN/>
      <w:rPr>
        <w:rFonts w:ascii="Times New Roman" w:eastAsiaTheme="minorHAnsi" w:hAnsi="Times New Roman" w:cs="Times New Roman"/>
        <w:sz w:val="20"/>
        <w:szCs w:val="18"/>
      </w:rPr>
    </w:pPr>
    <w:r w:rsidRPr="002A39DA">
      <w:rPr>
        <w:rFonts w:ascii="Times New Roman" w:eastAsiaTheme="minorHAnsi" w:hAnsi="Times New Roman" w:cs="Times New Roman"/>
        <w:sz w:val="20"/>
        <w:szCs w:val="18"/>
      </w:rPr>
      <w:tab/>
    </w:r>
  </w:p>
  <w:p w14:paraId="3BAC11C1" w14:textId="77777777" w:rsidR="002A39DA" w:rsidRPr="002A39DA" w:rsidRDefault="002A39DA" w:rsidP="002A39DA">
    <w:pPr>
      <w:tabs>
        <w:tab w:val="center" w:pos="4513"/>
        <w:tab w:val="right" w:pos="9026"/>
        <w:tab w:val="right" w:pos="9072"/>
      </w:tabs>
      <w:autoSpaceDE/>
      <w:autoSpaceDN/>
      <w:rPr>
        <w:rFonts w:ascii="Times New Roman" w:eastAsiaTheme="minorHAnsi" w:hAnsi="Times New Roman" w:cs="Times New Roman"/>
        <w:sz w:val="20"/>
        <w:szCs w:val="18"/>
      </w:rPr>
    </w:pPr>
  </w:p>
  <w:p w14:paraId="467B19DF" w14:textId="25F5F721" w:rsidR="000002A4" w:rsidRPr="002A39DA" w:rsidRDefault="002A39DA" w:rsidP="002A39DA">
    <w:pPr>
      <w:tabs>
        <w:tab w:val="right" w:pos="9072"/>
      </w:tabs>
      <w:autoSpaceDE/>
      <w:autoSpaceDN/>
      <w:rPr>
        <w:rFonts w:ascii="Times New Roman" w:eastAsiaTheme="minorHAnsi" w:hAnsi="Times New Roman" w:cs="Times New Roman"/>
        <w:sz w:val="20"/>
        <w:szCs w:val="18"/>
      </w:rPr>
    </w:pPr>
    <w:r w:rsidRPr="002A39DA">
      <w:rPr>
        <w:rFonts w:ascii="Times New Roman" w:eastAsiaTheme="minorHAnsi" w:hAnsi="Times New Roman" w:cs="Times New Roman"/>
        <w:noProof/>
        <w:sz w:val="20"/>
        <w:szCs w:val="18"/>
      </w:rPr>
      <w:t xml:space="preserve">Tulkojums </w:t>
    </w:r>
    <w:r w:rsidRPr="002A39DA">
      <w:rPr>
        <w:rFonts w:ascii="Times New Roman" w:eastAsiaTheme="minorHAnsi" w:hAnsi="Times New Roman" w:cs="Times New Roman"/>
        <w:noProof/>
        <w:sz w:val="20"/>
        <w:szCs w:val="18"/>
      </w:rPr>
      <w:fldChar w:fldCharType="begin"/>
    </w:r>
    <w:r w:rsidRPr="002A39DA">
      <w:rPr>
        <w:rFonts w:ascii="Times New Roman" w:eastAsiaTheme="minorHAnsi" w:hAnsi="Times New Roman" w:cs="Times New Roman"/>
        <w:noProof/>
        <w:sz w:val="20"/>
        <w:szCs w:val="18"/>
      </w:rPr>
      <w:instrText>symbol 211 \f "Symbol" \s 9</w:instrText>
    </w:r>
    <w:r w:rsidRPr="002A39DA">
      <w:rPr>
        <w:rFonts w:ascii="Times New Roman" w:eastAsiaTheme="minorHAnsi" w:hAnsi="Times New Roman" w:cs="Times New Roman"/>
        <w:noProof/>
        <w:sz w:val="20"/>
        <w:szCs w:val="18"/>
      </w:rPr>
      <w:fldChar w:fldCharType="separate"/>
    </w:r>
    <w:r w:rsidRPr="002A39DA">
      <w:rPr>
        <w:rFonts w:ascii="Times New Roman" w:eastAsiaTheme="minorHAnsi" w:hAnsi="Times New Roman" w:cs="Times New Roman"/>
        <w:noProof/>
        <w:sz w:val="20"/>
        <w:szCs w:val="18"/>
      </w:rPr>
      <w:t>Ó</w:t>
    </w:r>
    <w:r w:rsidRPr="002A39DA">
      <w:rPr>
        <w:rFonts w:ascii="Times New Roman" w:eastAsiaTheme="minorHAnsi" w:hAnsi="Times New Roman" w:cs="Times New Roman"/>
        <w:noProof/>
        <w:sz w:val="20"/>
        <w:szCs w:val="18"/>
      </w:rPr>
      <w:fldChar w:fldCharType="end"/>
    </w:r>
    <w:r w:rsidRPr="002A39DA">
      <w:rPr>
        <w:rFonts w:ascii="Times New Roman" w:eastAsiaTheme="minorHAnsi" w:hAnsi="Times New Roman" w:cs="Times New Roman"/>
        <w:noProof/>
        <w:sz w:val="20"/>
        <w:szCs w:val="18"/>
      </w:rPr>
      <w:t xml:space="preserve"> Valsts valodas centrs, 202</w:t>
    </w:r>
    <w:r w:rsidR="00327B2E">
      <w:rPr>
        <w:rFonts w:ascii="Times New Roman" w:eastAsiaTheme="minorHAnsi" w:hAnsi="Times New Roman" w:cs="Times New Roman"/>
        <w:noProof/>
        <w:sz w:val="20"/>
        <w:szCs w:val="18"/>
      </w:rPr>
      <w:t>5</w:t>
    </w:r>
    <w:r w:rsidRPr="002A39DA">
      <w:rPr>
        <w:rFonts w:ascii="Times New Roman" w:eastAsiaTheme="minorHAnsi" w:hAnsi="Times New Roman" w:cs="Times New Roman"/>
        <w:sz w:val="20"/>
        <w:szCs w:val="18"/>
      </w:rPr>
      <w:tab/>
    </w:r>
    <w:r w:rsidRPr="002A39DA">
      <w:rPr>
        <w:rFonts w:ascii="Times New Roman" w:eastAsiaTheme="minorHAnsi" w:hAnsi="Times New Roman" w:cs="Times New Roman"/>
        <w:sz w:val="20"/>
        <w:szCs w:val="18"/>
      </w:rPr>
      <w:fldChar w:fldCharType="begin"/>
    </w:r>
    <w:r w:rsidRPr="002A39DA">
      <w:rPr>
        <w:rFonts w:ascii="Times New Roman" w:eastAsiaTheme="minorHAnsi" w:hAnsi="Times New Roman" w:cs="Times New Roman"/>
        <w:sz w:val="20"/>
        <w:szCs w:val="18"/>
      </w:rPr>
      <w:instrText xml:space="preserve">page </w:instrText>
    </w:r>
    <w:r w:rsidRPr="002A39DA">
      <w:rPr>
        <w:rFonts w:ascii="Times New Roman" w:eastAsiaTheme="minorHAnsi" w:hAnsi="Times New Roman" w:cs="Times New Roman"/>
        <w:sz w:val="20"/>
        <w:szCs w:val="18"/>
      </w:rPr>
      <w:fldChar w:fldCharType="separate"/>
    </w:r>
    <w:r w:rsidRPr="002A39DA">
      <w:rPr>
        <w:rFonts w:ascii="Times New Roman" w:eastAsiaTheme="minorHAnsi" w:hAnsi="Times New Roman" w:cs="Times New Roman"/>
        <w:sz w:val="20"/>
        <w:szCs w:val="18"/>
      </w:rPr>
      <w:t>2</w:t>
    </w:r>
    <w:r w:rsidRPr="002A39DA">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2649" w14:textId="77777777" w:rsidR="002227AE" w:rsidRPr="002227AE" w:rsidRDefault="002227AE" w:rsidP="002227AE">
    <w:pPr>
      <w:tabs>
        <w:tab w:val="center" w:pos="4513"/>
        <w:tab w:val="right" w:pos="9026"/>
        <w:tab w:val="left" w:pos="9072"/>
      </w:tabs>
      <w:autoSpaceDE/>
      <w:autoSpaceDN/>
      <w:rPr>
        <w:rFonts w:ascii="Times New Roman" w:eastAsiaTheme="minorHAnsi"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1F55B253" w14:textId="77777777" w:rsidR="002227AE" w:rsidRPr="002227AE" w:rsidRDefault="002227AE" w:rsidP="002227AE">
    <w:pPr>
      <w:tabs>
        <w:tab w:val="left" w:leader="underscore" w:pos="9072"/>
      </w:tabs>
      <w:autoSpaceDE/>
      <w:autoSpaceDN/>
      <w:rPr>
        <w:rFonts w:ascii="Times New Roman" w:eastAsiaTheme="minorHAnsi" w:hAnsi="Times New Roman" w:cs="Times New Roman"/>
        <w:sz w:val="20"/>
        <w:szCs w:val="18"/>
      </w:rPr>
    </w:pPr>
    <w:r w:rsidRPr="002227AE">
      <w:rPr>
        <w:rFonts w:ascii="Times New Roman" w:eastAsiaTheme="minorHAnsi" w:hAnsi="Times New Roman" w:cs="Times New Roman"/>
        <w:sz w:val="20"/>
        <w:szCs w:val="18"/>
      </w:rPr>
      <w:tab/>
    </w:r>
  </w:p>
  <w:p w14:paraId="35A6D652" w14:textId="77777777" w:rsidR="002227AE" w:rsidRPr="002227AE" w:rsidRDefault="002227AE" w:rsidP="002227AE">
    <w:pPr>
      <w:tabs>
        <w:tab w:val="center" w:pos="4513"/>
        <w:tab w:val="right" w:pos="9026"/>
        <w:tab w:val="left" w:pos="9072"/>
      </w:tabs>
      <w:autoSpaceDE/>
      <w:autoSpaceDN/>
      <w:rPr>
        <w:rFonts w:ascii="Times New Roman" w:eastAsiaTheme="minorHAnsi" w:hAnsi="Times New Roman" w:cs="Times New Roman"/>
        <w:sz w:val="20"/>
        <w:szCs w:val="18"/>
      </w:rPr>
    </w:pPr>
  </w:p>
  <w:p w14:paraId="15A29120" w14:textId="096E06E5" w:rsidR="001C6768" w:rsidRPr="002227AE" w:rsidRDefault="002227AE" w:rsidP="002227AE">
    <w:pPr>
      <w:tabs>
        <w:tab w:val="center" w:pos="4513"/>
        <w:tab w:val="right" w:pos="9026"/>
      </w:tabs>
      <w:autoSpaceDE/>
      <w:autoSpaceDN/>
      <w:rPr>
        <w:rFonts w:ascii="Times New Roman" w:eastAsiaTheme="minorHAnsi" w:hAnsi="Times New Roman" w:cs="Times New Roman"/>
        <w:sz w:val="20"/>
        <w:szCs w:val="18"/>
      </w:rPr>
    </w:pPr>
    <w:r w:rsidRPr="002227AE">
      <w:rPr>
        <w:rFonts w:ascii="Times New Roman" w:eastAsiaTheme="minorHAnsi" w:hAnsi="Times New Roman" w:cs="Times New Roman"/>
        <w:noProof/>
        <w:sz w:val="20"/>
        <w:szCs w:val="18"/>
      </w:rPr>
      <w:t xml:space="preserve">Tulkojums </w:t>
    </w:r>
    <w:r w:rsidRPr="002227AE">
      <w:rPr>
        <w:rFonts w:ascii="Times New Roman" w:eastAsiaTheme="minorHAnsi" w:hAnsi="Times New Roman" w:cs="Times New Roman"/>
        <w:noProof/>
        <w:sz w:val="20"/>
        <w:szCs w:val="18"/>
      </w:rPr>
      <w:fldChar w:fldCharType="begin"/>
    </w:r>
    <w:r w:rsidRPr="002227AE">
      <w:rPr>
        <w:rFonts w:ascii="Times New Roman" w:eastAsiaTheme="minorHAnsi" w:hAnsi="Times New Roman" w:cs="Times New Roman"/>
        <w:noProof/>
        <w:sz w:val="20"/>
        <w:szCs w:val="18"/>
      </w:rPr>
      <w:instrText>symbol 211 \f "Symbol" \s 9</w:instrText>
    </w:r>
    <w:r w:rsidRPr="002227AE">
      <w:rPr>
        <w:rFonts w:ascii="Times New Roman" w:eastAsiaTheme="minorHAnsi" w:hAnsi="Times New Roman" w:cs="Times New Roman"/>
        <w:noProof/>
        <w:sz w:val="20"/>
        <w:szCs w:val="18"/>
      </w:rPr>
      <w:fldChar w:fldCharType="separate"/>
    </w:r>
    <w:r w:rsidRPr="002227AE">
      <w:rPr>
        <w:rFonts w:ascii="Times New Roman" w:eastAsiaTheme="minorHAnsi" w:hAnsi="Times New Roman" w:cs="Times New Roman"/>
        <w:noProof/>
        <w:sz w:val="20"/>
        <w:szCs w:val="18"/>
      </w:rPr>
      <w:t>Ó</w:t>
    </w:r>
    <w:r w:rsidRPr="002227AE">
      <w:rPr>
        <w:rFonts w:ascii="Times New Roman" w:eastAsiaTheme="minorHAnsi" w:hAnsi="Times New Roman" w:cs="Times New Roman"/>
        <w:noProof/>
        <w:sz w:val="20"/>
        <w:szCs w:val="18"/>
      </w:rPr>
      <w:fldChar w:fldCharType="end"/>
    </w:r>
    <w:r w:rsidRPr="002227AE">
      <w:rPr>
        <w:rFonts w:ascii="Times New Roman" w:eastAsiaTheme="minorHAnsi" w:hAnsi="Times New Roman" w:cs="Times New Roman"/>
        <w:noProof/>
        <w:sz w:val="20"/>
        <w:szCs w:val="18"/>
      </w:rPr>
      <w:t xml:space="preserve"> Valsts valodas centrs, 20</w:t>
    </w:r>
    <w:bookmarkEnd w:id="18"/>
    <w:bookmarkEnd w:id="19"/>
    <w:bookmarkEnd w:id="20"/>
    <w:r w:rsidRPr="002227AE">
      <w:rPr>
        <w:rFonts w:ascii="Times New Roman" w:eastAsiaTheme="minorHAnsi" w:hAnsi="Times New Roman" w:cs="Times New Roman"/>
        <w:noProof/>
        <w:sz w:val="20"/>
        <w:szCs w:val="18"/>
      </w:rPr>
      <w:t>2</w:t>
    </w:r>
    <w:bookmarkEnd w:id="21"/>
    <w:bookmarkEnd w:id="22"/>
    <w:r w:rsidR="00327B2E">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59C0" w14:textId="77777777" w:rsidR="00E20E5E" w:rsidRPr="007E5128" w:rsidRDefault="00E20E5E">
      <w:pPr>
        <w:rPr>
          <w:noProof/>
        </w:rPr>
      </w:pPr>
      <w:r w:rsidRPr="007E5128">
        <w:rPr>
          <w:noProof/>
        </w:rPr>
        <w:separator/>
      </w:r>
    </w:p>
  </w:footnote>
  <w:footnote w:type="continuationSeparator" w:id="0">
    <w:p w14:paraId="4CC08BB8" w14:textId="77777777" w:rsidR="00E20E5E" w:rsidRPr="007E5128" w:rsidRDefault="00E20E5E">
      <w:pPr>
        <w:rPr>
          <w:noProof/>
        </w:rPr>
      </w:pPr>
      <w:r w:rsidRPr="007E5128">
        <w:rPr>
          <w:noProof/>
        </w:rPr>
        <w:continuationSeparator/>
      </w:r>
    </w:p>
  </w:footnote>
  <w:footnote w:type="continuationNotice" w:id="1">
    <w:p w14:paraId="1A25ADAB" w14:textId="77777777" w:rsidR="00E20E5E" w:rsidRDefault="00E2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9F17" w14:textId="77777777" w:rsidR="00FB0018" w:rsidRPr="00FB0018" w:rsidRDefault="00FB0018" w:rsidP="00FB0018">
    <w:pPr>
      <w:tabs>
        <w:tab w:val="right" w:leader="underscore" w:pos="9072"/>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FB0018">
      <w:rPr>
        <w:rFonts w:ascii="Times New Roman" w:eastAsiaTheme="minorHAnsi"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465815DD" w14:textId="77777777" w:rsidR="00FB0018" w:rsidRPr="00FB0018" w:rsidRDefault="00FB0018" w:rsidP="00FB0018">
    <w:pPr>
      <w:tabs>
        <w:tab w:val="center" w:pos="4513"/>
        <w:tab w:val="right" w:pos="9026"/>
      </w:tabs>
      <w:autoSpaceDE/>
      <w:autoSpaceDN/>
      <w:rPr>
        <w:rFonts w:ascii="Times New Roman" w:eastAsiaTheme="minorHAnsi" w:hAnsi="Times New Roman" w:cs="Times New Roman"/>
        <w:sz w:val="20"/>
        <w:szCs w:val="20"/>
      </w:rPr>
    </w:pPr>
  </w:p>
  <w:p w14:paraId="467B19DE" w14:textId="2282114B" w:rsidR="000002A4" w:rsidRDefault="000002A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64DE" w14:textId="77777777" w:rsidR="001C6768" w:rsidRPr="001C6768" w:rsidRDefault="001C6768" w:rsidP="001C6768">
    <w:pPr>
      <w:pBdr>
        <w:bottom w:val="single" w:sz="12" w:space="5" w:color="auto"/>
      </w:pBdr>
      <w:autoSpaceDE/>
      <w:autoSpaceDN/>
      <w:rPr>
        <w:rFonts w:ascii="Times New Roman" w:eastAsiaTheme="minorHAnsi"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08F6CA0E" w14:textId="77777777" w:rsidR="001C6768" w:rsidRDefault="001C6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8"/>
    <w:multiLevelType w:val="hybridMultilevel"/>
    <w:tmpl w:val="A25C322A"/>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566B5"/>
    <w:multiLevelType w:val="hybridMultilevel"/>
    <w:tmpl w:val="E29E6554"/>
    <w:lvl w:ilvl="0" w:tplc="B1EAD40E">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BBA434AE">
      <w:numFmt w:val="bullet"/>
      <w:lvlText w:val="—"/>
      <w:lvlJc w:val="left"/>
      <w:pPr>
        <w:ind w:left="1299" w:hanging="568"/>
      </w:pPr>
      <w:rPr>
        <w:rFonts w:ascii="Calibri" w:eastAsia="Calibri" w:hAnsi="Calibri" w:cs="Calibri" w:hint="default"/>
        <w:b w:val="0"/>
        <w:bCs w:val="0"/>
        <w:i w:val="0"/>
        <w:iCs w:val="0"/>
        <w:spacing w:val="0"/>
        <w:w w:val="99"/>
        <w:sz w:val="22"/>
        <w:szCs w:val="22"/>
        <w:shd w:val="clear" w:color="auto" w:fill="00FFFF"/>
        <w:lang w:val="en-US" w:eastAsia="en-US" w:bidi="ar-SA"/>
      </w:rPr>
    </w:lvl>
    <w:lvl w:ilvl="2" w:tplc="7B40DB3C">
      <w:numFmt w:val="bullet"/>
      <w:lvlText w:val="—"/>
      <w:lvlJc w:val="left"/>
      <w:pPr>
        <w:ind w:left="1867" w:hanging="568"/>
      </w:pPr>
      <w:rPr>
        <w:rFonts w:ascii="Calibri" w:eastAsia="Calibri" w:hAnsi="Calibri" w:cs="Calibri" w:hint="default"/>
        <w:b w:val="0"/>
        <w:bCs w:val="0"/>
        <w:i w:val="0"/>
        <w:iCs w:val="0"/>
        <w:spacing w:val="0"/>
        <w:w w:val="99"/>
        <w:sz w:val="22"/>
        <w:szCs w:val="22"/>
        <w:shd w:val="clear" w:color="auto" w:fill="00FFFF"/>
        <w:lang w:val="en-US" w:eastAsia="en-US" w:bidi="ar-SA"/>
      </w:rPr>
    </w:lvl>
    <w:lvl w:ilvl="3" w:tplc="32101478">
      <w:numFmt w:val="bullet"/>
      <w:lvlText w:val="•"/>
      <w:lvlJc w:val="left"/>
      <w:pPr>
        <w:ind w:left="2797" w:hanging="568"/>
      </w:pPr>
      <w:rPr>
        <w:rFonts w:hint="default"/>
        <w:lang w:val="en-US" w:eastAsia="en-US" w:bidi="ar-SA"/>
      </w:rPr>
    </w:lvl>
    <w:lvl w:ilvl="4" w:tplc="BB66B41C">
      <w:numFmt w:val="bullet"/>
      <w:lvlText w:val="•"/>
      <w:lvlJc w:val="left"/>
      <w:pPr>
        <w:ind w:left="3734" w:hanging="568"/>
      </w:pPr>
      <w:rPr>
        <w:rFonts w:hint="default"/>
        <w:lang w:val="en-US" w:eastAsia="en-US" w:bidi="ar-SA"/>
      </w:rPr>
    </w:lvl>
    <w:lvl w:ilvl="5" w:tplc="1F6E293C">
      <w:numFmt w:val="bullet"/>
      <w:lvlText w:val="•"/>
      <w:lvlJc w:val="left"/>
      <w:pPr>
        <w:ind w:left="4671" w:hanging="568"/>
      </w:pPr>
      <w:rPr>
        <w:rFonts w:hint="default"/>
        <w:lang w:val="en-US" w:eastAsia="en-US" w:bidi="ar-SA"/>
      </w:rPr>
    </w:lvl>
    <w:lvl w:ilvl="6" w:tplc="6AFCBA84">
      <w:numFmt w:val="bullet"/>
      <w:lvlText w:val="•"/>
      <w:lvlJc w:val="left"/>
      <w:pPr>
        <w:ind w:left="5608" w:hanging="568"/>
      </w:pPr>
      <w:rPr>
        <w:rFonts w:hint="default"/>
        <w:lang w:val="en-US" w:eastAsia="en-US" w:bidi="ar-SA"/>
      </w:rPr>
    </w:lvl>
    <w:lvl w:ilvl="7" w:tplc="DFE4E8D6">
      <w:numFmt w:val="bullet"/>
      <w:lvlText w:val="•"/>
      <w:lvlJc w:val="left"/>
      <w:pPr>
        <w:ind w:left="6545" w:hanging="568"/>
      </w:pPr>
      <w:rPr>
        <w:rFonts w:hint="default"/>
        <w:lang w:val="en-US" w:eastAsia="en-US" w:bidi="ar-SA"/>
      </w:rPr>
    </w:lvl>
    <w:lvl w:ilvl="8" w:tplc="F3B63514">
      <w:numFmt w:val="bullet"/>
      <w:lvlText w:val="•"/>
      <w:lvlJc w:val="left"/>
      <w:pPr>
        <w:ind w:left="7482" w:hanging="568"/>
      </w:pPr>
      <w:rPr>
        <w:rFonts w:hint="default"/>
        <w:lang w:val="en-US" w:eastAsia="en-US" w:bidi="ar-SA"/>
      </w:rPr>
    </w:lvl>
  </w:abstractNum>
  <w:abstractNum w:abstractNumId="2" w15:restartNumberingAfterBreak="0">
    <w:nsid w:val="2CF6143B"/>
    <w:multiLevelType w:val="hybridMultilevel"/>
    <w:tmpl w:val="8E7A5F76"/>
    <w:lvl w:ilvl="0" w:tplc="AB8A65A4">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B56A156A">
      <w:numFmt w:val="bullet"/>
      <w:lvlText w:val="•"/>
      <w:lvlJc w:val="left"/>
      <w:pPr>
        <w:ind w:left="1601" w:hanging="568"/>
      </w:pPr>
      <w:rPr>
        <w:rFonts w:hint="default"/>
        <w:lang w:val="en-US" w:eastAsia="en-US" w:bidi="ar-SA"/>
      </w:rPr>
    </w:lvl>
    <w:lvl w:ilvl="2" w:tplc="DECA7A44">
      <w:numFmt w:val="bullet"/>
      <w:lvlText w:val="•"/>
      <w:lvlJc w:val="left"/>
      <w:pPr>
        <w:ind w:left="2463" w:hanging="568"/>
      </w:pPr>
      <w:rPr>
        <w:rFonts w:hint="default"/>
        <w:lang w:val="en-US" w:eastAsia="en-US" w:bidi="ar-SA"/>
      </w:rPr>
    </w:lvl>
    <w:lvl w:ilvl="3" w:tplc="E722850C">
      <w:numFmt w:val="bullet"/>
      <w:lvlText w:val="•"/>
      <w:lvlJc w:val="left"/>
      <w:pPr>
        <w:ind w:left="3324" w:hanging="568"/>
      </w:pPr>
      <w:rPr>
        <w:rFonts w:hint="default"/>
        <w:lang w:val="en-US" w:eastAsia="en-US" w:bidi="ar-SA"/>
      </w:rPr>
    </w:lvl>
    <w:lvl w:ilvl="4" w:tplc="B420A5A4">
      <w:numFmt w:val="bullet"/>
      <w:lvlText w:val="•"/>
      <w:lvlJc w:val="left"/>
      <w:pPr>
        <w:ind w:left="4186" w:hanging="568"/>
      </w:pPr>
      <w:rPr>
        <w:rFonts w:hint="default"/>
        <w:lang w:val="en-US" w:eastAsia="en-US" w:bidi="ar-SA"/>
      </w:rPr>
    </w:lvl>
    <w:lvl w:ilvl="5" w:tplc="28C43B82">
      <w:numFmt w:val="bullet"/>
      <w:lvlText w:val="•"/>
      <w:lvlJc w:val="left"/>
      <w:pPr>
        <w:ind w:left="5048" w:hanging="568"/>
      </w:pPr>
      <w:rPr>
        <w:rFonts w:hint="default"/>
        <w:lang w:val="en-US" w:eastAsia="en-US" w:bidi="ar-SA"/>
      </w:rPr>
    </w:lvl>
    <w:lvl w:ilvl="6" w:tplc="54C0D50C">
      <w:numFmt w:val="bullet"/>
      <w:lvlText w:val="•"/>
      <w:lvlJc w:val="left"/>
      <w:pPr>
        <w:ind w:left="5909" w:hanging="568"/>
      </w:pPr>
      <w:rPr>
        <w:rFonts w:hint="default"/>
        <w:lang w:val="en-US" w:eastAsia="en-US" w:bidi="ar-SA"/>
      </w:rPr>
    </w:lvl>
    <w:lvl w:ilvl="7" w:tplc="EB107DFA">
      <w:numFmt w:val="bullet"/>
      <w:lvlText w:val="•"/>
      <w:lvlJc w:val="left"/>
      <w:pPr>
        <w:ind w:left="6771" w:hanging="568"/>
      </w:pPr>
      <w:rPr>
        <w:rFonts w:hint="default"/>
        <w:lang w:val="en-US" w:eastAsia="en-US" w:bidi="ar-SA"/>
      </w:rPr>
    </w:lvl>
    <w:lvl w:ilvl="8" w:tplc="545A7318">
      <w:numFmt w:val="bullet"/>
      <w:lvlText w:val="•"/>
      <w:lvlJc w:val="left"/>
      <w:pPr>
        <w:ind w:left="7633" w:hanging="568"/>
      </w:pPr>
      <w:rPr>
        <w:rFonts w:hint="default"/>
        <w:lang w:val="en-US" w:eastAsia="en-US" w:bidi="ar-SA"/>
      </w:rPr>
    </w:lvl>
  </w:abstractNum>
  <w:abstractNum w:abstractNumId="3" w15:restartNumberingAfterBreak="0">
    <w:nsid w:val="447B650D"/>
    <w:multiLevelType w:val="hybridMultilevel"/>
    <w:tmpl w:val="0472EA80"/>
    <w:lvl w:ilvl="0" w:tplc="BDA6140E">
      <w:start w:val="1"/>
      <w:numFmt w:val="lowerLetter"/>
      <w:lvlText w:val="(%1)"/>
      <w:lvlJc w:val="left"/>
      <w:pPr>
        <w:ind w:left="733" w:hanging="568"/>
        <w:jc w:val="left"/>
      </w:pPr>
      <w:rPr>
        <w:rFonts w:ascii="Calibri" w:eastAsia="Calibri" w:hAnsi="Calibri" w:cs="Calibri" w:hint="default"/>
        <w:b w:val="0"/>
        <w:bCs w:val="0"/>
        <w:i w:val="0"/>
        <w:iCs w:val="0"/>
        <w:spacing w:val="0"/>
        <w:w w:val="99"/>
        <w:sz w:val="22"/>
        <w:szCs w:val="22"/>
        <w:shd w:val="clear" w:color="auto" w:fill="00FFFF"/>
        <w:lang w:val="en-US" w:eastAsia="en-US" w:bidi="ar-SA"/>
      </w:rPr>
    </w:lvl>
    <w:lvl w:ilvl="1" w:tplc="CD62C9AC">
      <w:numFmt w:val="bullet"/>
      <w:lvlText w:val="•"/>
      <w:lvlJc w:val="left"/>
      <w:pPr>
        <w:ind w:left="1601" w:hanging="568"/>
      </w:pPr>
      <w:rPr>
        <w:rFonts w:hint="default"/>
        <w:lang w:val="en-US" w:eastAsia="en-US" w:bidi="ar-SA"/>
      </w:rPr>
    </w:lvl>
    <w:lvl w:ilvl="2" w:tplc="59385438">
      <w:numFmt w:val="bullet"/>
      <w:lvlText w:val="•"/>
      <w:lvlJc w:val="left"/>
      <w:pPr>
        <w:ind w:left="2463" w:hanging="568"/>
      </w:pPr>
      <w:rPr>
        <w:rFonts w:hint="default"/>
        <w:lang w:val="en-US" w:eastAsia="en-US" w:bidi="ar-SA"/>
      </w:rPr>
    </w:lvl>
    <w:lvl w:ilvl="3" w:tplc="43603670">
      <w:numFmt w:val="bullet"/>
      <w:lvlText w:val="•"/>
      <w:lvlJc w:val="left"/>
      <w:pPr>
        <w:ind w:left="3324" w:hanging="568"/>
      </w:pPr>
      <w:rPr>
        <w:rFonts w:hint="default"/>
        <w:lang w:val="en-US" w:eastAsia="en-US" w:bidi="ar-SA"/>
      </w:rPr>
    </w:lvl>
    <w:lvl w:ilvl="4" w:tplc="CC9295CE">
      <w:numFmt w:val="bullet"/>
      <w:lvlText w:val="•"/>
      <w:lvlJc w:val="left"/>
      <w:pPr>
        <w:ind w:left="4186" w:hanging="568"/>
      </w:pPr>
      <w:rPr>
        <w:rFonts w:hint="default"/>
        <w:lang w:val="en-US" w:eastAsia="en-US" w:bidi="ar-SA"/>
      </w:rPr>
    </w:lvl>
    <w:lvl w:ilvl="5" w:tplc="9C0AAC3C">
      <w:numFmt w:val="bullet"/>
      <w:lvlText w:val="•"/>
      <w:lvlJc w:val="left"/>
      <w:pPr>
        <w:ind w:left="5048" w:hanging="568"/>
      </w:pPr>
      <w:rPr>
        <w:rFonts w:hint="default"/>
        <w:lang w:val="en-US" w:eastAsia="en-US" w:bidi="ar-SA"/>
      </w:rPr>
    </w:lvl>
    <w:lvl w:ilvl="6" w:tplc="EBAA6926">
      <w:numFmt w:val="bullet"/>
      <w:lvlText w:val="•"/>
      <w:lvlJc w:val="left"/>
      <w:pPr>
        <w:ind w:left="5909" w:hanging="568"/>
      </w:pPr>
      <w:rPr>
        <w:rFonts w:hint="default"/>
        <w:lang w:val="en-US" w:eastAsia="en-US" w:bidi="ar-SA"/>
      </w:rPr>
    </w:lvl>
    <w:lvl w:ilvl="7" w:tplc="73E6ABC4">
      <w:numFmt w:val="bullet"/>
      <w:lvlText w:val="•"/>
      <w:lvlJc w:val="left"/>
      <w:pPr>
        <w:ind w:left="6771" w:hanging="568"/>
      </w:pPr>
      <w:rPr>
        <w:rFonts w:hint="default"/>
        <w:lang w:val="en-US" w:eastAsia="en-US" w:bidi="ar-SA"/>
      </w:rPr>
    </w:lvl>
    <w:lvl w:ilvl="8" w:tplc="F3BAEDAA">
      <w:numFmt w:val="bullet"/>
      <w:lvlText w:val="•"/>
      <w:lvlJc w:val="left"/>
      <w:pPr>
        <w:ind w:left="7633" w:hanging="568"/>
      </w:pPr>
      <w:rPr>
        <w:rFonts w:hint="default"/>
        <w:lang w:val="en-US" w:eastAsia="en-US" w:bidi="ar-SA"/>
      </w:rPr>
    </w:lvl>
  </w:abstractNum>
  <w:abstractNum w:abstractNumId="4" w15:restartNumberingAfterBreak="0">
    <w:nsid w:val="4B61193F"/>
    <w:multiLevelType w:val="hybridMultilevel"/>
    <w:tmpl w:val="8738D5BE"/>
    <w:lvl w:ilvl="0" w:tplc="5A4CB29A">
      <w:start w:val="2"/>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3348C714">
      <w:start w:val="1"/>
      <w:numFmt w:val="decimal"/>
      <w:lvlText w:val="(%2)"/>
      <w:lvlJc w:val="left"/>
      <w:pPr>
        <w:ind w:left="1299" w:hanging="568"/>
        <w:jc w:val="left"/>
      </w:pPr>
      <w:rPr>
        <w:rFonts w:ascii="Calibri" w:eastAsia="Calibri" w:hAnsi="Calibri" w:cs="Calibri" w:hint="default"/>
        <w:b w:val="0"/>
        <w:bCs w:val="0"/>
        <w:i w:val="0"/>
        <w:iCs w:val="0"/>
        <w:spacing w:val="-1"/>
        <w:w w:val="99"/>
        <w:sz w:val="22"/>
        <w:szCs w:val="22"/>
        <w:lang w:val="en-US" w:eastAsia="en-US" w:bidi="ar-SA"/>
      </w:rPr>
    </w:lvl>
    <w:lvl w:ilvl="2" w:tplc="FACC3008">
      <w:numFmt w:val="bullet"/>
      <w:lvlText w:val="•"/>
      <w:lvlJc w:val="left"/>
      <w:pPr>
        <w:ind w:left="2195" w:hanging="568"/>
      </w:pPr>
      <w:rPr>
        <w:rFonts w:hint="default"/>
        <w:lang w:val="en-US" w:eastAsia="en-US" w:bidi="ar-SA"/>
      </w:rPr>
    </w:lvl>
    <w:lvl w:ilvl="3" w:tplc="02D05602">
      <w:numFmt w:val="bullet"/>
      <w:lvlText w:val="•"/>
      <w:lvlJc w:val="left"/>
      <w:pPr>
        <w:ind w:left="3090" w:hanging="568"/>
      </w:pPr>
      <w:rPr>
        <w:rFonts w:hint="default"/>
        <w:lang w:val="en-US" w:eastAsia="en-US" w:bidi="ar-SA"/>
      </w:rPr>
    </w:lvl>
    <w:lvl w:ilvl="4" w:tplc="E722B780">
      <w:numFmt w:val="bullet"/>
      <w:lvlText w:val="•"/>
      <w:lvlJc w:val="left"/>
      <w:pPr>
        <w:ind w:left="3985" w:hanging="568"/>
      </w:pPr>
      <w:rPr>
        <w:rFonts w:hint="default"/>
        <w:lang w:val="en-US" w:eastAsia="en-US" w:bidi="ar-SA"/>
      </w:rPr>
    </w:lvl>
    <w:lvl w:ilvl="5" w:tplc="2DA43C7E">
      <w:numFmt w:val="bullet"/>
      <w:lvlText w:val="•"/>
      <w:lvlJc w:val="left"/>
      <w:pPr>
        <w:ind w:left="4880" w:hanging="568"/>
      </w:pPr>
      <w:rPr>
        <w:rFonts w:hint="default"/>
        <w:lang w:val="en-US" w:eastAsia="en-US" w:bidi="ar-SA"/>
      </w:rPr>
    </w:lvl>
    <w:lvl w:ilvl="6" w:tplc="35928EB8">
      <w:numFmt w:val="bullet"/>
      <w:lvlText w:val="•"/>
      <w:lvlJc w:val="left"/>
      <w:pPr>
        <w:ind w:left="5775" w:hanging="568"/>
      </w:pPr>
      <w:rPr>
        <w:rFonts w:hint="default"/>
        <w:lang w:val="en-US" w:eastAsia="en-US" w:bidi="ar-SA"/>
      </w:rPr>
    </w:lvl>
    <w:lvl w:ilvl="7" w:tplc="CA7E014C">
      <w:numFmt w:val="bullet"/>
      <w:lvlText w:val="•"/>
      <w:lvlJc w:val="left"/>
      <w:pPr>
        <w:ind w:left="6670" w:hanging="568"/>
      </w:pPr>
      <w:rPr>
        <w:rFonts w:hint="default"/>
        <w:lang w:val="en-US" w:eastAsia="en-US" w:bidi="ar-SA"/>
      </w:rPr>
    </w:lvl>
    <w:lvl w:ilvl="8" w:tplc="F7DA00BE">
      <w:numFmt w:val="bullet"/>
      <w:lvlText w:val="•"/>
      <w:lvlJc w:val="left"/>
      <w:pPr>
        <w:ind w:left="7566" w:hanging="568"/>
      </w:pPr>
      <w:rPr>
        <w:rFonts w:hint="default"/>
        <w:lang w:val="en-US" w:eastAsia="en-US" w:bidi="ar-SA"/>
      </w:rPr>
    </w:lvl>
  </w:abstractNum>
  <w:abstractNum w:abstractNumId="5" w15:restartNumberingAfterBreak="0">
    <w:nsid w:val="57465612"/>
    <w:multiLevelType w:val="hybridMultilevel"/>
    <w:tmpl w:val="83783ADE"/>
    <w:lvl w:ilvl="0" w:tplc="BE7C47F0">
      <w:start w:val="10"/>
      <w:numFmt w:val="decimal"/>
      <w:lvlText w:val="(%1)"/>
      <w:lvlJc w:val="left"/>
      <w:pPr>
        <w:ind w:left="732"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28940068">
      <w:start w:val="1"/>
      <w:numFmt w:val="lowerRoman"/>
      <w:lvlText w:val="(%2)"/>
      <w:lvlJc w:val="left"/>
      <w:pPr>
        <w:ind w:left="1300"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10D4FE86">
      <w:numFmt w:val="bullet"/>
      <w:lvlText w:val="•"/>
      <w:lvlJc w:val="left"/>
      <w:pPr>
        <w:ind w:left="2132" w:hanging="568"/>
      </w:pPr>
      <w:rPr>
        <w:rFonts w:hint="default"/>
        <w:lang w:val="en-US" w:eastAsia="en-US" w:bidi="ar-SA"/>
      </w:rPr>
    </w:lvl>
    <w:lvl w:ilvl="3" w:tplc="FDECD62C">
      <w:numFmt w:val="bullet"/>
      <w:lvlText w:val="•"/>
      <w:lvlJc w:val="left"/>
      <w:pPr>
        <w:ind w:left="2964" w:hanging="568"/>
      </w:pPr>
      <w:rPr>
        <w:rFonts w:hint="default"/>
        <w:lang w:val="en-US" w:eastAsia="en-US" w:bidi="ar-SA"/>
      </w:rPr>
    </w:lvl>
    <w:lvl w:ilvl="4" w:tplc="0FA0E816">
      <w:numFmt w:val="bullet"/>
      <w:lvlText w:val="•"/>
      <w:lvlJc w:val="left"/>
      <w:pPr>
        <w:ind w:left="3796" w:hanging="568"/>
      </w:pPr>
      <w:rPr>
        <w:rFonts w:hint="default"/>
        <w:lang w:val="en-US" w:eastAsia="en-US" w:bidi="ar-SA"/>
      </w:rPr>
    </w:lvl>
    <w:lvl w:ilvl="5" w:tplc="15585394">
      <w:numFmt w:val="bullet"/>
      <w:lvlText w:val="•"/>
      <w:lvlJc w:val="left"/>
      <w:pPr>
        <w:ind w:left="4628" w:hanging="568"/>
      </w:pPr>
      <w:rPr>
        <w:rFonts w:hint="default"/>
        <w:lang w:val="en-US" w:eastAsia="en-US" w:bidi="ar-SA"/>
      </w:rPr>
    </w:lvl>
    <w:lvl w:ilvl="6" w:tplc="C2E68232">
      <w:numFmt w:val="bullet"/>
      <w:lvlText w:val="•"/>
      <w:lvlJc w:val="left"/>
      <w:pPr>
        <w:ind w:left="5460" w:hanging="568"/>
      </w:pPr>
      <w:rPr>
        <w:rFonts w:hint="default"/>
        <w:lang w:val="en-US" w:eastAsia="en-US" w:bidi="ar-SA"/>
      </w:rPr>
    </w:lvl>
    <w:lvl w:ilvl="7" w:tplc="3072F9FC">
      <w:numFmt w:val="bullet"/>
      <w:lvlText w:val="•"/>
      <w:lvlJc w:val="left"/>
      <w:pPr>
        <w:ind w:left="6293" w:hanging="568"/>
      </w:pPr>
      <w:rPr>
        <w:rFonts w:hint="default"/>
        <w:lang w:val="en-US" w:eastAsia="en-US" w:bidi="ar-SA"/>
      </w:rPr>
    </w:lvl>
    <w:lvl w:ilvl="8" w:tplc="C8E0E46E">
      <w:numFmt w:val="bullet"/>
      <w:lvlText w:val="•"/>
      <w:lvlJc w:val="left"/>
      <w:pPr>
        <w:ind w:left="7125" w:hanging="568"/>
      </w:pPr>
      <w:rPr>
        <w:rFonts w:hint="default"/>
        <w:lang w:val="en-US" w:eastAsia="en-US" w:bidi="ar-SA"/>
      </w:rPr>
    </w:lvl>
  </w:abstractNum>
  <w:abstractNum w:abstractNumId="6" w15:restartNumberingAfterBreak="0">
    <w:nsid w:val="5D7057F3"/>
    <w:multiLevelType w:val="hybridMultilevel"/>
    <w:tmpl w:val="ADA6252C"/>
    <w:lvl w:ilvl="0" w:tplc="4BF21ABC">
      <w:start w:val="1"/>
      <w:numFmt w:val="decimal"/>
      <w:lvlText w:val="(%1)"/>
      <w:lvlJc w:val="left"/>
      <w:pPr>
        <w:ind w:left="732" w:hanging="568"/>
        <w:jc w:val="left"/>
      </w:pPr>
      <w:rPr>
        <w:rFonts w:ascii="Calibri" w:eastAsia="Calibri" w:hAnsi="Calibri" w:cs="Calibri" w:hint="default"/>
        <w:b w:val="0"/>
        <w:bCs w:val="0"/>
        <w:i w:val="0"/>
        <w:iCs w:val="0"/>
        <w:spacing w:val="-1"/>
        <w:w w:val="99"/>
        <w:sz w:val="22"/>
        <w:szCs w:val="22"/>
        <w:lang w:val="en-US" w:eastAsia="en-US" w:bidi="ar-SA"/>
      </w:rPr>
    </w:lvl>
    <w:lvl w:ilvl="1" w:tplc="EB827764">
      <w:numFmt w:val="bullet"/>
      <w:lvlText w:val="•"/>
      <w:lvlJc w:val="left"/>
      <w:pPr>
        <w:ind w:left="1544" w:hanging="568"/>
      </w:pPr>
      <w:rPr>
        <w:rFonts w:hint="default"/>
        <w:lang w:val="en-US" w:eastAsia="en-US" w:bidi="ar-SA"/>
      </w:rPr>
    </w:lvl>
    <w:lvl w:ilvl="2" w:tplc="DAC2F348">
      <w:numFmt w:val="bullet"/>
      <w:lvlText w:val="•"/>
      <w:lvlJc w:val="left"/>
      <w:pPr>
        <w:ind w:left="2349" w:hanging="568"/>
      </w:pPr>
      <w:rPr>
        <w:rFonts w:hint="default"/>
        <w:lang w:val="en-US" w:eastAsia="en-US" w:bidi="ar-SA"/>
      </w:rPr>
    </w:lvl>
    <w:lvl w:ilvl="3" w:tplc="BFA0EBA2">
      <w:numFmt w:val="bullet"/>
      <w:lvlText w:val="•"/>
      <w:lvlJc w:val="left"/>
      <w:pPr>
        <w:ind w:left="3154" w:hanging="568"/>
      </w:pPr>
      <w:rPr>
        <w:rFonts w:hint="default"/>
        <w:lang w:val="en-US" w:eastAsia="en-US" w:bidi="ar-SA"/>
      </w:rPr>
    </w:lvl>
    <w:lvl w:ilvl="4" w:tplc="3920E8E2">
      <w:numFmt w:val="bullet"/>
      <w:lvlText w:val="•"/>
      <w:lvlJc w:val="left"/>
      <w:pPr>
        <w:ind w:left="3959" w:hanging="568"/>
      </w:pPr>
      <w:rPr>
        <w:rFonts w:hint="default"/>
        <w:lang w:val="en-US" w:eastAsia="en-US" w:bidi="ar-SA"/>
      </w:rPr>
    </w:lvl>
    <w:lvl w:ilvl="5" w:tplc="C6D44EB6">
      <w:numFmt w:val="bullet"/>
      <w:lvlText w:val="•"/>
      <w:lvlJc w:val="left"/>
      <w:pPr>
        <w:ind w:left="4764" w:hanging="568"/>
      </w:pPr>
      <w:rPr>
        <w:rFonts w:hint="default"/>
        <w:lang w:val="en-US" w:eastAsia="en-US" w:bidi="ar-SA"/>
      </w:rPr>
    </w:lvl>
    <w:lvl w:ilvl="6" w:tplc="FDDC79D4">
      <w:numFmt w:val="bullet"/>
      <w:lvlText w:val="•"/>
      <w:lvlJc w:val="left"/>
      <w:pPr>
        <w:ind w:left="5569" w:hanging="568"/>
      </w:pPr>
      <w:rPr>
        <w:rFonts w:hint="default"/>
        <w:lang w:val="en-US" w:eastAsia="en-US" w:bidi="ar-SA"/>
      </w:rPr>
    </w:lvl>
    <w:lvl w:ilvl="7" w:tplc="44EA1192">
      <w:numFmt w:val="bullet"/>
      <w:lvlText w:val="•"/>
      <w:lvlJc w:val="left"/>
      <w:pPr>
        <w:ind w:left="6374" w:hanging="568"/>
      </w:pPr>
      <w:rPr>
        <w:rFonts w:hint="default"/>
        <w:lang w:val="en-US" w:eastAsia="en-US" w:bidi="ar-SA"/>
      </w:rPr>
    </w:lvl>
    <w:lvl w:ilvl="8" w:tplc="89841E66">
      <w:numFmt w:val="bullet"/>
      <w:lvlText w:val="•"/>
      <w:lvlJc w:val="left"/>
      <w:pPr>
        <w:ind w:left="7179" w:hanging="568"/>
      </w:pPr>
      <w:rPr>
        <w:rFonts w:hint="default"/>
        <w:lang w:val="en-US" w:eastAsia="en-US" w:bidi="ar-SA"/>
      </w:rPr>
    </w:lvl>
  </w:abstractNum>
  <w:abstractNum w:abstractNumId="7" w15:restartNumberingAfterBreak="0">
    <w:nsid w:val="6EEA63F7"/>
    <w:multiLevelType w:val="hybridMultilevel"/>
    <w:tmpl w:val="6AE0920A"/>
    <w:lvl w:ilvl="0" w:tplc="FA60C136">
      <w:numFmt w:val="bullet"/>
      <w:lvlText w:val="—"/>
      <w:lvlJc w:val="left"/>
      <w:pPr>
        <w:ind w:left="733" w:hanging="568"/>
      </w:pPr>
      <w:rPr>
        <w:rFonts w:ascii="Calibri" w:eastAsia="Calibri" w:hAnsi="Calibri" w:cs="Calibri" w:hint="default"/>
        <w:b w:val="0"/>
        <w:bCs w:val="0"/>
        <w:i w:val="0"/>
        <w:iCs w:val="0"/>
        <w:spacing w:val="0"/>
        <w:w w:val="99"/>
        <w:sz w:val="22"/>
        <w:szCs w:val="22"/>
        <w:lang w:val="en-US" w:eastAsia="en-US" w:bidi="ar-SA"/>
      </w:rPr>
    </w:lvl>
    <w:lvl w:ilvl="1" w:tplc="D270B1CC">
      <w:numFmt w:val="bullet"/>
      <w:lvlText w:val="•"/>
      <w:lvlJc w:val="left"/>
      <w:pPr>
        <w:ind w:left="1601" w:hanging="568"/>
      </w:pPr>
      <w:rPr>
        <w:rFonts w:hint="default"/>
        <w:lang w:val="en-US" w:eastAsia="en-US" w:bidi="ar-SA"/>
      </w:rPr>
    </w:lvl>
    <w:lvl w:ilvl="2" w:tplc="836EA1B0">
      <w:numFmt w:val="bullet"/>
      <w:lvlText w:val="•"/>
      <w:lvlJc w:val="left"/>
      <w:pPr>
        <w:ind w:left="2463" w:hanging="568"/>
      </w:pPr>
      <w:rPr>
        <w:rFonts w:hint="default"/>
        <w:lang w:val="en-US" w:eastAsia="en-US" w:bidi="ar-SA"/>
      </w:rPr>
    </w:lvl>
    <w:lvl w:ilvl="3" w:tplc="8832755E">
      <w:numFmt w:val="bullet"/>
      <w:lvlText w:val="•"/>
      <w:lvlJc w:val="left"/>
      <w:pPr>
        <w:ind w:left="3324" w:hanging="568"/>
      </w:pPr>
      <w:rPr>
        <w:rFonts w:hint="default"/>
        <w:lang w:val="en-US" w:eastAsia="en-US" w:bidi="ar-SA"/>
      </w:rPr>
    </w:lvl>
    <w:lvl w:ilvl="4" w:tplc="F9F24F5A">
      <w:numFmt w:val="bullet"/>
      <w:lvlText w:val="•"/>
      <w:lvlJc w:val="left"/>
      <w:pPr>
        <w:ind w:left="4186" w:hanging="568"/>
      </w:pPr>
      <w:rPr>
        <w:rFonts w:hint="default"/>
        <w:lang w:val="en-US" w:eastAsia="en-US" w:bidi="ar-SA"/>
      </w:rPr>
    </w:lvl>
    <w:lvl w:ilvl="5" w:tplc="A15CE7E4">
      <w:numFmt w:val="bullet"/>
      <w:lvlText w:val="•"/>
      <w:lvlJc w:val="left"/>
      <w:pPr>
        <w:ind w:left="5048" w:hanging="568"/>
      </w:pPr>
      <w:rPr>
        <w:rFonts w:hint="default"/>
        <w:lang w:val="en-US" w:eastAsia="en-US" w:bidi="ar-SA"/>
      </w:rPr>
    </w:lvl>
    <w:lvl w:ilvl="6" w:tplc="CF0CA384">
      <w:numFmt w:val="bullet"/>
      <w:lvlText w:val="•"/>
      <w:lvlJc w:val="left"/>
      <w:pPr>
        <w:ind w:left="5909" w:hanging="568"/>
      </w:pPr>
      <w:rPr>
        <w:rFonts w:hint="default"/>
        <w:lang w:val="en-US" w:eastAsia="en-US" w:bidi="ar-SA"/>
      </w:rPr>
    </w:lvl>
    <w:lvl w:ilvl="7" w:tplc="82624826">
      <w:numFmt w:val="bullet"/>
      <w:lvlText w:val="•"/>
      <w:lvlJc w:val="left"/>
      <w:pPr>
        <w:ind w:left="6771" w:hanging="568"/>
      </w:pPr>
      <w:rPr>
        <w:rFonts w:hint="default"/>
        <w:lang w:val="en-US" w:eastAsia="en-US" w:bidi="ar-SA"/>
      </w:rPr>
    </w:lvl>
    <w:lvl w:ilvl="8" w:tplc="6A269852">
      <w:numFmt w:val="bullet"/>
      <w:lvlText w:val="•"/>
      <w:lvlJc w:val="left"/>
      <w:pPr>
        <w:ind w:left="7633" w:hanging="568"/>
      </w:pPr>
      <w:rPr>
        <w:rFonts w:hint="default"/>
        <w:lang w:val="en-US" w:eastAsia="en-US" w:bidi="ar-SA"/>
      </w:rPr>
    </w:lvl>
  </w:abstractNum>
  <w:abstractNum w:abstractNumId="8" w15:restartNumberingAfterBreak="0">
    <w:nsid w:val="72457F2E"/>
    <w:multiLevelType w:val="hybridMultilevel"/>
    <w:tmpl w:val="93FA78BE"/>
    <w:lvl w:ilvl="0" w:tplc="B2889FA4">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E3DE8246">
      <w:start w:val="1"/>
      <w:numFmt w:val="decimal"/>
      <w:lvlText w:val="(%2)"/>
      <w:lvlJc w:val="left"/>
      <w:pPr>
        <w:ind w:left="1299" w:hanging="568"/>
        <w:jc w:val="left"/>
      </w:pPr>
      <w:rPr>
        <w:rFonts w:ascii="Calibri" w:eastAsia="Calibri" w:hAnsi="Calibri" w:cs="Calibri" w:hint="default"/>
        <w:b w:val="0"/>
        <w:bCs w:val="0"/>
        <w:i w:val="0"/>
        <w:iCs w:val="0"/>
        <w:spacing w:val="-1"/>
        <w:w w:val="99"/>
        <w:sz w:val="22"/>
        <w:szCs w:val="22"/>
        <w:lang w:val="en-US" w:eastAsia="en-US" w:bidi="ar-SA"/>
      </w:rPr>
    </w:lvl>
    <w:lvl w:ilvl="2" w:tplc="1DC8F838">
      <w:start w:val="1"/>
      <w:numFmt w:val="lowerRoman"/>
      <w:lvlText w:val="(%3)"/>
      <w:lvlJc w:val="left"/>
      <w:pPr>
        <w:ind w:left="1867" w:hanging="568"/>
        <w:jc w:val="right"/>
      </w:pPr>
      <w:rPr>
        <w:rFonts w:hint="default"/>
        <w:spacing w:val="-1"/>
        <w:w w:val="99"/>
        <w:lang w:val="en-US" w:eastAsia="en-US" w:bidi="ar-SA"/>
      </w:rPr>
    </w:lvl>
    <w:lvl w:ilvl="3" w:tplc="1F0C740E">
      <w:start w:val="1"/>
      <w:numFmt w:val="upperLetter"/>
      <w:lvlText w:val="(%4)"/>
      <w:lvlJc w:val="left"/>
      <w:pPr>
        <w:ind w:left="1302" w:hanging="570"/>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4" w:tplc="D3641B9A">
      <w:numFmt w:val="bullet"/>
      <w:lvlText w:val="•"/>
      <w:lvlJc w:val="left"/>
      <w:pPr>
        <w:ind w:left="3450" w:hanging="570"/>
      </w:pPr>
      <w:rPr>
        <w:rFonts w:hint="default"/>
        <w:lang w:val="en-US" w:eastAsia="en-US" w:bidi="ar-SA"/>
      </w:rPr>
    </w:lvl>
    <w:lvl w:ilvl="5" w:tplc="6CE4C6D8">
      <w:numFmt w:val="bullet"/>
      <w:lvlText w:val="•"/>
      <w:lvlJc w:val="left"/>
      <w:pPr>
        <w:ind w:left="4245" w:hanging="570"/>
      </w:pPr>
      <w:rPr>
        <w:rFonts w:hint="default"/>
        <w:lang w:val="en-US" w:eastAsia="en-US" w:bidi="ar-SA"/>
      </w:rPr>
    </w:lvl>
    <w:lvl w:ilvl="6" w:tplc="C8A0174A">
      <w:numFmt w:val="bullet"/>
      <w:lvlText w:val="•"/>
      <w:lvlJc w:val="left"/>
      <w:pPr>
        <w:ind w:left="5041" w:hanging="570"/>
      </w:pPr>
      <w:rPr>
        <w:rFonts w:hint="default"/>
        <w:lang w:val="en-US" w:eastAsia="en-US" w:bidi="ar-SA"/>
      </w:rPr>
    </w:lvl>
    <w:lvl w:ilvl="7" w:tplc="D3A6022C">
      <w:numFmt w:val="bullet"/>
      <w:lvlText w:val="•"/>
      <w:lvlJc w:val="left"/>
      <w:pPr>
        <w:ind w:left="5836" w:hanging="570"/>
      </w:pPr>
      <w:rPr>
        <w:rFonts w:hint="default"/>
        <w:lang w:val="en-US" w:eastAsia="en-US" w:bidi="ar-SA"/>
      </w:rPr>
    </w:lvl>
    <w:lvl w:ilvl="8" w:tplc="B658FFB0">
      <w:numFmt w:val="bullet"/>
      <w:lvlText w:val="•"/>
      <w:lvlJc w:val="left"/>
      <w:pPr>
        <w:ind w:left="6631" w:hanging="570"/>
      </w:pPr>
      <w:rPr>
        <w:rFonts w:hint="default"/>
        <w:lang w:val="en-US" w:eastAsia="en-US" w:bidi="ar-SA"/>
      </w:rPr>
    </w:lvl>
  </w:abstractNum>
  <w:abstractNum w:abstractNumId="9" w15:restartNumberingAfterBreak="0">
    <w:nsid w:val="734E4D5D"/>
    <w:multiLevelType w:val="hybridMultilevel"/>
    <w:tmpl w:val="398C1416"/>
    <w:lvl w:ilvl="0" w:tplc="DEBA0148">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6F30DE4C">
      <w:start w:val="1"/>
      <w:numFmt w:val="decimal"/>
      <w:lvlText w:val="(%2)"/>
      <w:lvlJc w:val="left"/>
      <w:pPr>
        <w:ind w:left="1299" w:hanging="568"/>
        <w:jc w:val="left"/>
      </w:pPr>
      <w:rPr>
        <w:rFonts w:hint="default"/>
        <w:spacing w:val="-1"/>
        <w:w w:val="99"/>
        <w:lang w:val="en-US" w:eastAsia="en-US" w:bidi="ar-SA"/>
      </w:rPr>
    </w:lvl>
    <w:lvl w:ilvl="2" w:tplc="BE3817D4">
      <w:numFmt w:val="bullet"/>
      <w:lvlText w:val="•"/>
      <w:lvlJc w:val="left"/>
      <w:pPr>
        <w:ind w:left="2195" w:hanging="568"/>
      </w:pPr>
      <w:rPr>
        <w:rFonts w:hint="default"/>
        <w:lang w:val="en-US" w:eastAsia="en-US" w:bidi="ar-SA"/>
      </w:rPr>
    </w:lvl>
    <w:lvl w:ilvl="3" w:tplc="7D4A1980">
      <w:numFmt w:val="bullet"/>
      <w:lvlText w:val="•"/>
      <w:lvlJc w:val="left"/>
      <w:pPr>
        <w:ind w:left="3090" w:hanging="568"/>
      </w:pPr>
      <w:rPr>
        <w:rFonts w:hint="default"/>
        <w:lang w:val="en-US" w:eastAsia="en-US" w:bidi="ar-SA"/>
      </w:rPr>
    </w:lvl>
    <w:lvl w:ilvl="4" w:tplc="951CFD8A">
      <w:numFmt w:val="bullet"/>
      <w:lvlText w:val="•"/>
      <w:lvlJc w:val="left"/>
      <w:pPr>
        <w:ind w:left="3985" w:hanging="568"/>
      </w:pPr>
      <w:rPr>
        <w:rFonts w:hint="default"/>
        <w:lang w:val="en-US" w:eastAsia="en-US" w:bidi="ar-SA"/>
      </w:rPr>
    </w:lvl>
    <w:lvl w:ilvl="5" w:tplc="4B44CD56">
      <w:numFmt w:val="bullet"/>
      <w:lvlText w:val="•"/>
      <w:lvlJc w:val="left"/>
      <w:pPr>
        <w:ind w:left="4880" w:hanging="568"/>
      </w:pPr>
      <w:rPr>
        <w:rFonts w:hint="default"/>
        <w:lang w:val="en-US" w:eastAsia="en-US" w:bidi="ar-SA"/>
      </w:rPr>
    </w:lvl>
    <w:lvl w:ilvl="6" w:tplc="0C86E64C">
      <w:numFmt w:val="bullet"/>
      <w:lvlText w:val="•"/>
      <w:lvlJc w:val="left"/>
      <w:pPr>
        <w:ind w:left="5775" w:hanging="568"/>
      </w:pPr>
      <w:rPr>
        <w:rFonts w:hint="default"/>
        <w:lang w:val="en-US" w:eastAsia="en-US" w:bidi="ar-SA"/>
      </w:rPr>
    </w:lvl>
    <w:lvl w:ilvl="7" w:tplc="9858E9CC">
      <w:numFmt w:val="bullet"/>
      <w:lvlText w:val="•"/>
      <w:lvlJc w:val="left"/>
      <w:pPr>
        <w:ind w:left="6670" w:hanging="568"/>
      </w:pPr>
      <w:rPr>
        <w:rFonts w:hint="default"/>
        <w:lang w:val="en-US" w:eastAsia="en-US" w:bidi="ar-SA"/>
      </w:rPr>
    </w:lvl>
    <w:lvl w:ilvl="8" w:tplc="C2585CBC">
      <w:numFmt w:val="bullet"/>
      <w:lvlText w:val="•"/>
      <w:lvlJc w:val="left"/>
      <w:pPr>
        <w:ind w:left="7566" w:hanging="568"/>
      </w:pPr>
      <w:rPr>
        <w:rFonts w:hint="default"/>
        <w:lang w:val="en-US" w:eastAsia="en-US" w:bidi="ar-SA"/>
      </w:rPr>
    </w:lvl>
  </w:abstractNum>
  <w:abstractNum w:abstractNumId="10" w15:restartNumberingAfterBreak="0">
    <w:nsid w:val="795335C1"/>
    <w:multiLevelType w:val="hybridMultilevel"/>
    <w:tmpl w:val="D6F40968"/>
    <w:lvl w:ilvl="0" w:tplc="5D006154">
      <w:start w:val="1"/>
      <w:numFmt w:val="bullet"/>
      <w:lvlText w:val=""/>
      <w:lvlJc w:val="left"/>
      <w:pPr>
        <w:ind w:left="16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511F4"/>
    <w:multiLevelType w:val="hybridMultilevel"/>
    <w:tmpl w:val="D27201E4"/>
    <w:lvl w:ilvl="0" w:tplc="D214E15E">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6E3A46B8">
      <w:start w:val="1"/>
      <w:numFmt w:val="decimal"/>
      <w:lvlText w:val="(%2)"/>
      <w:lvlJc w:val="left"/>
      <w:pPr>
        <w:ind w:left="1299" w:hanging="568"/>
        <w:jc w:val="left"/>
      </w:pPr>
      <w:rPr>
        <w:rFonts w:hint="default"/>
        <w:spacing w:val="-1"/>
        <w:w w:val="99"/>
        <w:lang w:val="en-US" w:eastAsia="en-US" w:bidi="ar-SA"/>
      </w:rPr>
    </w:lvl>
    <w:lvl w:ilvl="2" w:tplc="66D0D666">
      <w:start w:val="1"/>
      <w:numFmt w:val="lowerRoman"/>
      <w:lvlText w:val="(%3)"/>
      <w:lvlJc w:val="left"/>
      <w:pPr>
        <w:ind w:left="1867" w:hanging="568"/>
        <w:jc w:val="left"/>
      </w:pPr>
      <w:rPr>
        <w:rFonts w:ascii="Calibri" w:eastAsia="Calibri" w:hAnsi="Calibri" w:cs="Calibri" w:hint="default"/>
        <w:b w:val="0"/>
        <w:bCs w:val="0"/>
        <w:i w:val="0"/>
        <w:iCs w:val="0"/>
        <w:spacing w:val="-1"/>
        <w:w w:val="99"/>
        <w:sz w:val="22"/>
        <w:szCs w:val="22"/>
        <w:lang w:val="en-US" w:eastAsia="en-US" w:bidi="ar-SA"/>
      </w:rPr>
    </w:lvl>
    <w:lvl w:ilvl="3" w:tplc="C3AAF9D0">
      <w:numFmt w:val="bullet"/>
      <w:lvlText w:val="•"/>
      <w:lvlJc w:val="left"/>
      <w:pPr>
        <w:ind w:left="2797" w:hanging="568"/>
      </w:pPr>
      <w:rPr>
        <w:rFonts w:hint="default"/>
        <w:lang w:val="en-US" w:eastAsia="en-US" w:bidi="ar-SA"/>
      </w:rPr>
    </w:lvl>
    <w:lvl w:ilvl="4" w:tplc="6B889A7A">
      <w:numFmt w:val="bullet"/>
      <w:lvlText w:val="•"/>
      <w:lvlJc w:val="left"/>
      <w:pPr>
        <w:ind w:left="3734" w:hanging="568"/>
      </w:pPr>
      <w:rPr>
        <w:rFonts w:hint="default"/>
        <w:lang w:val="en-US" w:eastAsia="en-US" w:bidi="ar-SA"/>
      </w:rPr>
    </w:lvl>
    <w:lvl w:ilvl="5" w:tplc="C3ECCAE0">
      <w:numFmt w:val="bullet"/>
      <w:lvlText w:val="•"/>
      <w:lvlJc w:val="left"/>
      <w:pPr>
        <w:ind w:left="4671" w:hanging="568"/>
      </w:pPr>
      <w:rPr>
        <w:rFonts w:hint="default"/>
        <w:lang w:val="en-US" w:eastAsia="en-US" w:bidi="ar-SA"/>
      </w:rPr>
    </w:lvl>
    <w:lvl w:ilvl="6" w:tplc="A73E6E9C">
      <w:numFmt w:val="bullet"/>
      <w:lvlText w:val="•"/>
      <w:lvlJc w:val="left"/>
      <w:pPr>
        <w:ind w:left="5608" w:hanging="568"/>
      </w:pPr>
      <w:rPr>
        <w:rFonts w:hint="default"/>
        <w:lang w:val="en-US" w:eastAsia="en-US" w:bidi="ar-SA"/>
      </w:rPr>
    </w:lvl>
    <w:lvl w:ilvl="7" w:tplc="F8D0C644">
      <w:numFmt w:val="bullet"/>
      <w:lvlText w:val="•"/>
      <w:lvlJc w:val="left"/>
      <w:pPr>
        <w:ind w:left="6545" w:hanging="568"/>
      </w:pPr>
      <w:rPr>
        <w:rFonts w:hint="default"/>
        <w:lang w:val="en-US" w:eastAsia="en-US" w:bidi="ar-SA"/>
      </w:rPr>
    </w:lvl>
    <w:lvl w:ilvl="8" w:tplc="B2CE279C">
      <w:numFmt w:val="bullet"/>
      <w:lvlText w:val="•"/>
      <w:lvlJc w:val="left"/>
      <w:pPr>
        <w:ind w:left="7482" w:hanging="568"/>
      </w:pPr>
      <w:rPr>
        <w:rFonts w:hint="default"/>
        <w:lang w:val="en-US" w:eastAsia="en-US" w:bidi="ar-SA"/>
      </w:rPr>
    </w:lvl>
  </w:abstractNum>
  <w:num w:numId="1" w16cid:durableId="1248460993">
    <w:abstractNumId w:val="11"/>
  </w:num>
  <w:num w:numId="2" w16cid:durableId="453796195">
    <w:abstractNumId w:val="9"/>
  </w:num>
  <w:num w:numId="3" w16cid:durableId="846484139">
    <w:abstractNumId w:val="5"/>
  </w:num>
  <w:num w:numId="4" w16cid:durableId="978607425">
    <w:abstractNumId w:val="1"/>
  </w:num>
  <w:num w:numId="5" w16cid:durableId="579755248">
    <w:abstractNumId w:val="6"/>
  </w:num>
  <w:num w:numId="6" w16cid:durableId="1718778389">
    <w:abstractNumId w:val="2"/>
  </w:num>
  <w:num w:numId="7" w16cid:durableId="294288472">
    <w:abstractNumId w:val="3"/>
  </w:num>
  <w:num w:numId="8" w16cid:durableId="2367076">
    <w:abstractNumId w:val="4"/>
  </w:num>
  <w:num w:numId="9" w16cid:durableId="533428041">
    <w:abstractNumId w:val="8"/>
  </w:num>
  <w:num w:numId="10" w16cid:durableId="486557867">
    <w:abstractNumId w:val="7"/>
  </w:num>
  <w:num w:numId="11" w16cid:durableId="339744842">
    <w:abstractNumId w:val="0"/>
  </w:num>
  <w:num w:numId="12" w16cid:durableId="1372147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002A4"/>
    <w:rsid w:val="000002A4"/>
    <w:rsid w:val="00060553"/>
    <w:rsid w:val="00071ED0"/>
    <w:rsid w:val="000A1692"/>
    <w:rsid w:val="000B0768"/>
    <w:rsid w:val="000B2B65"/>
    <w:rsid w:val="000C4588"/>
    <w:rsid w:val="000C6284"/>
    <w:rsid w:val="000D2E90"/>
    <w:rsid w:val="000E41C0"/>
    <w:rsid w:val="000E5D2B"/>
    <w:rsid w:val="000F63BA"/>
    <w:rsid w:val="00102A09"/>
    <w:rsid w:val="00103C52"/>
    <w:rsid w:val="001247E4"/>
    <w:rsid w:val="001728E3"/>
    <w:rsid w:val="00173B0B"/>
    <w:rsid w:val="00173E63"/>
    <w:rsid w:val="00177E08"/>
    <w:rsid w:val="00182363"/>
    <w:rsid w:val="00192C27"/>
    <w:rsid w:val="001A1B43"/>
    <w:rsid w:val="001A5587"/>
    <w:rsid w:val="001C21E6"/>
    <w:rsid w:val="001C6768"/>
    <w:rsid w:val="001E48BA"/>
    <w:rsid w:val="00221B5F"/>
    <w:rsid w:val="002227AE"/>
    <w:rsid w:val="002339B3"/>
    <w:rsid w:val="002362CC"/>
    <w:rsid w:val="00237C80"/>
    <w:rsid w:val="00243C40"/>
    <w:rsid w:val="002478DC"/>
    <w:rsid w:val="002515E1"/>
    <w:rsid w:val="002578CB"/>
    <w:rsid w:val="00260212"/>
    <w:rsid w:val="00265B5F"/>
    <w:rsid w:val="0028231C"/>
    <w:rsid w:val="00283325"/>
    <w:rsid w:val="002A39DA"/>
    <w:rsid w:val="002F68BF"/>
    <w:rsid w:val="003113A9"/>
    <w:rsid w:val="00326436"/>
    <w:rsid w:val="00327B2E"/>
    <w:rsid w:val="00333826"/>
    <w:rsid w:val="0033615B"/>
    <w:rsid w:val="00357D75"/>
    <w:rsid w:val="00364666"/>
    <w:rsid w:val="00395802"/>
    <w:rsid w:val="00425D5E"/>
    <w:rsid w:val="00434334"/>
    <w:rsid w:val="0044498E"/>
    <w:rsid w:val="00462C64"/>
    <w:rsid w:val="004741C6"/>
    <w:rsid w:val="0049414F"/>
    <w:rsid w:val="004B4B97"/>
    <w:rsid w:val="004D3D8F"/>
    <w:rsid w:val="00501B59"/>
    <w:rsid w:val="005269CE"/>
    <w:rsid w:val="0053035F"/>
    <w:rsid w:val="00560F99"/>
    <w:rsid w:val="005C2C8F"/>
    <w:rsid w:val="00636695"/>
    <w:rsid w:val="00642304"/>
    <w:rsid w:val="0066033F"/>
    <w:rsid w:val="00674A12"/>
    <w:rsid w:val="0067552F"/>
    <w:rsid w:val="006C08D7"/>
    <w:rsid w:val="006D2F99"/>
    <w:rsid w:val="006E5720"/>
    <w:rsid w:val="00722BAA"/>
    <w:rsid w:val="00723AC2"/>
    <w:rsid w:val="007449A5"/>
    <w:rsid w:val="00765684"/>
    <w:rsid w:val="007A1995"/>
    <w:rsid w:val="007D2235"/>
    <w:rsid w:val="007E5128"/>
    <w:rsid w:val="008162E2"/>
    <w:rsid w:val="00833A1B"/>
    <w:rsid w:val="00851CD9"/>
    <w:rsid w:val="0087479D"/>
    <w:rsid w:val="00884DDD"/>
    <w:rsid w:val="008933A0"/>
    <w:rsid w:val="00900577"/>
    <w:rsid w:val="00906F11"/>
    <w:rsid w:val="009151EE"/>
    <w:rsid w:val="009605BA"/>
    <w:rsid w:val="00982D49"/>
    <w:rsid w:val="00983206"/>
    <w:rsid w:val="0099127D"/>
    <w:rsid w:val="0099561C"/>
    <w:rsid w:val="009B69BF"/>
    <w:rsid w:val="00A46AF7"/>
    <w:rsid w:val="00A92FB3"/>
    <w:rsid w:val="00AC2ECB"/>
    <w:rsid w:val="00AC403F"/>
    <w:rsid w:val="00AE44F7"/>
    <w:rsid w:val="00B34206"/>
    <w:rsid w:val="00B36EAC"/>
    <w:rsid w:val="00B452FF"/>
    <w:rsid w:val="00B579BF"/>
    <w:rsid w:val="00B70D19"/>
    <w:rsid w:val="00B72027"/>
    <w:rsid w:val="00B81713"/>
    <w:rsid w:val="00BA45AA"/>
    <w:rsid w:val="00BE16C1"/>
    <w:rsid w:val="00BE2448"/>
    <w:rsid w:val="00BE25A2"/>
    <w:rsid w:val="00C941BC"/>
    <w:rsid w:val="00CA50F2"/>
    <w:rsid w:val="00CD19FD"/>
    <w:rsid w:val="00CD3B5B"/>
    <w:rsid w:val="00D06E6D"/>
    <w:rsid w:val="00D13644"/>
    <w:rsid w:val="00D16CBA"/>
    <w:rsid w:val="00D2050C"/>
    <w:rsid w:val="00D27C7F"/>
    <w:rsid w:val="00D4602B"/>
    <w:rsid w:val="00D75AAE"/>
    <w:rsid w:val="00D93C4E"/>
    <w:rsid w:val="00D95B56"/>
    <w:rsid w:val="00DA1069"/>
    <w:rsid w:val="00DD0C34"/>
    <w:rsid w:val="00E06E68"/>
    <w:rsid w:val="00E1659B"/>
    <w:rsid w:val="00E20E5E"/>
    <w:rsid w:val="00E55D4B"/>
    <w:rsid w:val="00E56806"/>
    <w:rsid w:val="00E717F5"/>
    <w:rsid w:val="00E77D95"/>
    <w:rsid w:val="00E83C3A"/>
    <w:rsid w:val="00E85313"/>
    <w:rsid w:val="00E87101"/>
    <w:rsid w:val="00EA1BB2"/>
    <w:rsid w:val="00EA49BF"/>
    <w:rsid w:val="00EA4ABF"/>
    <w:rsid w:val="00EB0A35"/>
    <w:rsid w:val="00ED2E51"/>
    <w:rsid w:val="00EE2588"/>
    <w:rsid w:val="00EE35F2"/>
    <w:rsid w:val="00EF01E5"/>
    <w:rsid w:val="00F112B2"/>
    <w:rsid w:val="00F21BA8"/>
    <w:rsid w:val="00F45E40"/>
    <w:rsid w:val="00F46C61"/>
    <w:rsid w:val="00F71FCB"/>
    <w:rsid w:val="00F97EC9"/>
    <w:rsid w:val="00FA58FA"/>
    <w:rsid w:val="00FB0018"/>
    <w:rsid w:val="00FB0C2C"/>
    <w:rsid w:val="00FB30C3"/>
    <w:rsid w:val="00FC0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
      <w:outlineLvl w:val="0"/>
    </w:pPr>
    <w:rPr>
      <w:b/>
      <w:bCs/>
      <w:sz w:val="32"/>
      <w:szCs w:val="32"/>
    </w:rPr>
  </w:style>
  <w:style w:type="paragraph" w:styleId="Heading2">
    <w:name w:val="heading 2"/>
    <w:basedOn w:val="Normal"/>
    <w:uiPriority w:val="9"/>
    <w:unhideWhenUsed/>
    <w:qFormat/>
    <w:pPr>
      <w:ind w:right="1"/>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1299" w:hanging="568"/>
    </w:pPr>
  </w:style>
  <w:style w:type="paragraph" w:customStyle="1" w:styleId="TableParagraph">
    <w:name w:val="Table Paragraph"/>
    <w:basedOn w:val="Normal"/>
    <w:uiPriority w:val="1"/>
    <w:qFormat/>
    <w:pPr>
      <w:spacing w:before="120"/>
      <w:ind w:left="107"/>
      <w:jc w:val="both"/>
    </w:pPr>
  </w:style>
  <w:style w:type="paragraph" w:styleId="Header">
    <w:name w:val="header"/>
    <w:basedOn w:val="Normal"/>
    <w:link w:val="HeaderChar"/>
    <w:uiPriority w:val="99"/>
    <w:unhideWhenUsed/>
    <w:rsid w:val="007E5128"/>
    <w:pPr>
      <w:tabs>
        <w:tab w:val="center" w:pos="4513"/>
        <w:tab w:val="right" w:pos="9026"/>
      </w:tabs>
    </w:pPr>
  </w:style>
  <w:style w:type="character" w:customStyle="1" w:styleId="HeaderChar">
    <w:name w:val="Header Char"/>
    <w:basedOn w:val="DefaultParagraphFont"/>
    <w:link w:val="Header"/>
    <w:uiPriority w:val="99"/>
    <w:rsid w:val="007E5128"/>
    <w:rPr>
      <w:rFonts w:ascii="Calibri" w:eastAsia="Calibri" w:hAnsi="Calibri" w:cs="Calibri"/>
    </w:rPr>
  </w:style>
  <w:style w:type="paragraph" w:styleId="Footer">
    <w:name w:val="footer"/>
    <w:basedOn w:val="Normal"/>
    <w:link w:val="FooterChar"/>
    <w:uiPriority w:val="99"/>
    <w:unhideWhenUsed/>
    <w:rsid w:val="007E5128"/>
    <w:pPr>
      <w:tabs>
        <w:tab w:val="center" w:pos="4513"/>
        <w:tab w:val="right" w:pos="9026"/>
      </w:tabs>
    </w:pPr>
  </w:style>
  <w:style w:type="character" w:customStyle="1" w:styleId="FooterChar">
    <w:name w:val="Footer Char"/>
    <w:basedOn w:val="DefaultParagraphFont"/>
    <w:link w:val="Footer"/>
    <w:uiPriority w:val="99"/>
    <w:rsid w:val="007E5128"/>
    <w:rPr>
      <w:rFonts w:ascii="Calibri" w:eastAsia="Calibri" w:hAnsi="Calibri" w:cs="Calibri"/>
    </w:rPr>
  </w:style>
  <w:style w:type="character" w:styleId="Hyperlink">
    <w:name w:val="Hyperlink"/>
    <w:basedOn w:val="DefaultParagraphFont"/>
    <w:uiPriority w:val="99"/>
    <w:unhideWhenUsed/>
    <w:rsid w:val="00F112B2"/>
    <w:rPr>
      <w:color w:val="0000FF" w:themeColor="hyperlink"/>
      <w:u w:val="single"/>
    </w:rPr>
  </w:style>
  <w:style w:type="character" w:styleId="UnresolvedMention">
    <w:name w:val="Unresolved Mention"/>
    <w:basedOn w:val="DefaultParagraphFont"/>
    <w:uiPriority w:val="99"/>
    <w:semiHidden/>
    <w:unhideWhenUsed/>
    <w:rsid w:val="00F112B2"/>
    <w:rPr>
      <w:color w:val="605E5C"/>
      <w:shd w:val="clear" w:color="auto" w:fill="E1DFDD"/>
    </w:rPr>
  </w:style>
  <w:style w:type="table" w:styleId="TableGrid">
    <w:name w:val="Table Grid"/>
    <w:basedOn w:val="TableNormal"/>
    <w:uiPriority w:val="39"/>
    <w:rsid w:val="0056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cardio.org/Guidelines/Clinical-Practice-Guidelines/CVD-Prevention-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asa.europ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81BF3-7F10-4494-AFEC-1DF9027F6DA3}">
  <ds:schemaRefs>
    <ds:schemaRef ds:uri="http://schemas.microsoft.com/sharepoint/v3/contenttype/forms"/>
  </ds:schemaRefs>
</ds:datastoreItem>
</file>

<file path=customXml/itemProps2.xml><?xml version="1.0" encoding="utf-8"?>
<ds:datastoreItem xmlns:ds="http://schemas.openxmlformats.org/officeDocument/2006/customXml" ds:itemID="{F0E24EBF-66DF-45C1-9DCC-FCCB8848095B}">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A1ADCDF9-0BBE-4748-90BA-BE604010BB3C}"/>
</file>

<file path=docProps/app.xml><?xml version="1.0" encoding="utf-8"?>
<Properties xmlns="http://schemas.openxmlformats.org/officeDocument/2006/extended-properties" xmlns:vt="http://schemas.openxmlformats.org/officeDocument/2006/docPropsVTypes">
  <Template>Normal</Template>
  <TotalTime>0</TotalTime>
  <Pages>11</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Links>
    <vt:vector size="6" baseType="variant">
      <vt:variant>
        <vt:i4>7733349</vt:i4>
      </vt:variant>
      <vt:variant>
        <vt:i4>0</vt:i4>
      </vt:variant>
      <vt:variant>
        <vt:i4>0</vt:i4>
      </vt:variant>
      <vt:variant>
        <vt:i4>5</vt:i4>
      </vt:variant>
      <vt:variant>
        <vt:lpwstr>https://www.escardio.org/Guidelines/Clinical-Practice-Guidelines/CVD-Prevention-Guidelines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2025-03-24T13:54:00Z</dcterms:created>
  <dcterms:modified xsi:type="dcterms:W3CDTF">2025-10-10T07:33:00Z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2025-03-24T00:00:00Z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2025-02-04T00:00:00Z</vt:filetime>
  </property>
</Properties>
</file>