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B510" w14:textId="77777777" w:rsidR="00D339CF" w:rsidRPr="00B74F9D" w:rsidRDefault="00D339CF" w:rsidP="00B74F9D">
      <w:pPr>
        <w:pStyle w:val="BodyText"/>
        <w:jc w:val="both"/>
        <w:rPr>
          <w:rFonts w:ascii="Times New Roman" w:hAnsi="Times New Roman"/>
          <w:noProof/>
          <w:sz w:val="24"/>
        </w:rPr>
      </w:pPr>
      <w:r>
        <w:rPr>
          <w:rFonts w:ascii="Times New Roman" w:hAnsi="Times New Roman"/>
          <w:noProof/>
          <w:sz w:val="24"/>
        </w:rPr>
        <w:drawing>
          <wp:inline distT="0" distB="0" distL="0" distR="0" wp14:anchorId="3DA72FB2" wp14:editId="21369804">
            <wp:extent cx="1256330" cy="393763"/>
            <wp:effectExtent l="0" t="0" r="0" b="0"/>
            <wp:docPr id="3" name="Image 3" descr="A blue and black logo&#10;&#10;AI-generated content may be incorrect.">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black logo&#10;&#10;AI-generated content may be incorrect.">
                      <a:hlinkClick r:id="rId11"/>
                    </pic:cNvPr>
                    <pic:cNvPicPr/>
                  </pic:nvPicPr>
                  <pic:blipFill>
                    <a:blip r:embed="rId12" cstate="print"/>
                    <a:stretch>
                      <a:fillRect/>
                    </a:stretch>
                  </pic:blipFill>
                  <pic:spPr>
                    <a:xfrm>
                      <a:off x="0" y="0"/>
                      <a:ext cx="1256330" cy="393763"/>
                    </a:xfrm>
                    <a:prstGeom prst="rect">
                      <a:avLst/>
                    </a:prstGeom>
                  </pic:spPr>
                </pic:pic>
              </a:graphicData>
            </a:graphic>
          </wp:inline>
        </w:drawing>
      </w:r>
    </w:p>
    <w:p w14:paraId="7C550884" w14:textId="77777777" w:rsidR="00D339CF" w:rsidRPr="00B74F9D" w:rsidRDefault="00D339CF" w:rsidP="00B74F9D">
      <w:pPr>
        <w:pStyle w:val="BodyText"/>
        <w:jc w:val="both"/>
        <w:rPr>
          <w:rFonts w:ascii="Times New Roman" w:hAnsi="Times New Roman"/>
          <w:noProof/>
          <w:sz w:val="24"/>
        </w:rPr>
      </w:pPr>
    </w:p>
    <w:p w14:paraId="6534AAC2" w14:textId="77777777" w:rsidR="00D339CF" w:rsidRPr="00B74F9D" w:rsidRDefault="00D339CF" w:rsidP="00B74F9D">
      <w:pPr>
        <w:pStyle w:val="BodyText"/>
        <w:jc w:val="both"/>
        <w:rPr>
          <w:rFonts w:ascii="Times New Roman" w:hAnsi="Times New Roman"/>
          <w:noProof/>
          <w:sz w:val="24"/>
        </w:rPr>
      </w:pPr>
    </w:p>
    <w:p w14:paraId="3087C997" w14:textId="77777777" w:rsidR="00D339CF" w:rsidRPr="00B74F9D" w:rsidRDefault="00D339CF" w:rsidP="00B74F9D">
      <w:pPr>
        <w:pStyle w:val="BodyText"/>
        <w:jc w:val="both"/>
        <w:rPr>
          <w:rFonts w:ascii="Times New Roman" w:hAnsi="Times New Roman"/>
          <w:noProof/>
          <w:sz w:val="24"/>
        </w:rPr>
      </w:pPr>
    </w:p>
    <w:p w14:paraId="644D7C05" w14:textId="77777777" w:rsidR="00D339CF" w:rsidRPr="00B74F9D" w:rsidRDefault="00D339CF" w:rsidP="00A37826">
      <w:pPr>
        <w:pStyle w:val="Title"/>
        <w:rPr>
          <w:rFonts w:ascii="Times New Roman" w:hAnsi="Times New Roman"/>
          <w:noProof/>
        </w:rPr>
      </w:pPr>
      <w:r>
        <w:rPr>
          <w:rFonts w:ascii="Times New Roman" w:hAnsi="Times New Roman"/>
          <w:i/>
          <w:iCs/>
        </w:rPr>
        <w:t>ED</w:t>
      </w:r>
      <w:r>
        <w:rPr>
          <w:rFonts w:ascii="Times New Roman" w:hAnsi="Times New Roman"/>
        </w:rPr>
        <w:t xml:space="preserve"> Lēmuma 2025/002/R I pielikums</w:t>
      </w:r>
    </w:p>
    <w:p w14:paraId="0B9BC7AD" w14:textId="77777777" w:rsidR="00D339CF" w:rsidRPr="00B74F9D" w:rsidRDefault="00D339CF" w:rsidP="00A37826">
      <w:pPr>
        <w:pStyle w:val="BodyText"/>
        <w:jc w:val="center"/>
        <w:rPr>
          <w:rFonts w:ascii="Times New Roman" w:hAnsi="Times New Roman"/>
          <w:b/>
          <w:noProof/>
          <w:sz w:val="24"/>
        </w:rPr>
      </w:pPr>
    </w:p>
    <w:p w14:paraId="7247F4FD" w14:textId="77777777" w:rsidR="00D339CF" w:rsidRDefault="00D339CF" w:rsidP="00A37826">
      <w:pPr>
        <w:pStyle w:val="Title"/>
        <w:rPr>
          <w:rFonts w:ascii="Times New Roman" w:hAnsi="Times New Roman"/>
          <w:noProof/>
        </w:rPr>
      </w:pPr>
      <w:r>
        <w:rPr>
          <w:rFonts w:ascii="Times New Roman" w:hAnsi="Times New Roman"/>
        </w:rPr>
        <w:t>“</w:t>
      </w:r>
      <w:r>
        <w:rPr>
          <w:rFonts w:ascii="Times New Roman" w:hAnsi="Times New Roman"/>
          <w:i/>
          <w:iCs/>
        </w:rPr>
        <w:t>AMC</w:t>
      </w:r>
      <w:r>
        <w:rPr>
          <w:rFonts w:ascii="Times New Roman" w:hAnsi="Times New Roman"/>
        </w:rPr>
        <w:t xml:space="preserve"> un </w:t>
      </w:r>
      <w:r>
        <w:rPr>
          <w:rFonts w:ascii="Times New Roman" w:hAnsi="Times New Roman"/>
          <w:i/>
          <w:iCs/>
        </w:rPr>
        <w:t>GM</w:t>
      </w:r>
      <w:r>
        <w:rPr>
          <w:rFonts w:ascii="Times New Roman" w:hAnsi="Times New Roman"/>
        </w:rPr>
        <w:t xml:space="preserve"> Regulai (ES) Nr. 1178/2011 – 1. izdevums, 1. grozījums”</w:t>
      </w:r>
    </w:p>
    <w:p w14:paraId="68BF8C7A" w14:textId="77777777" w:rsidR="00A37826" w:rsidRPr="00B74F9D" w:rsidRDefault="00A37826" w:rsidP="00A37826">
      <w:pPr>
        <w:pStyle w:val="Title"/>
        <w:rPr>
          <w:rFonts w:ascii="Times New Roman" w:hAnsi="Times New Roman"/>
          <w:noProof/>
        </w:rPr>
      </w:pPr>
    </w:p>
    <w:p w14:paraId="4D8E7024" w14:textId="77777777" w:rsidR="00D339CF" w:rsidRPr="00B74F9D" w:rsidRDefault="00D339CF" w:rsidP="00B74F9D">
      <w:pPr>
        <w:pStyle w:val="BodyText"/>
        <w:jc w:val="both"/>
        <w:rPr>
          <w:rFonts w:ascii="Times New Roman" w:hAnsi="Times New Roman"/>
          <w:b/>
          <w:noProof/>
          <w:sz w:val="24"/>
        </w:rPr>
      </w:pPr>
    </w:p>
    <w:p w14:paraId="6C70F403" w14:textId="77777777" w:rsidR="00D339CF" w:rsidRDefault="00D339CF" w:rsidP="00B74F9D">
      <w:pPr>
        <w:pStyle w:val="BodyText"/>
        <w:jc w:val="both"/>
        <w:rPr>
          <w:rFonts w:ascii="Times New Roman" w:hAnsi="Times New Roman"/>
          <w:noProof/>
          <w:sz w:val="24"/>
        </w:rPr>
      </w:pPr>
      <w:r>
        <w:rPr>
          <w:rFonts w:ascii="Times New Roman" w:hAnsi="Times New Roman"/>
          <w:sz w:val="24"/>
        </w:rPr>
        <w:t>Grozījuma teksts ir izkārtots tā, lai parādītu gan svītroto tekstu, gan jauno un neizmainīto tekstu:</w:t>
      </w:r>
    </w:p>
    <w:p w14:paraId="68577F4F" w14:textId="77777777" w:rsidR="00A37826" w:rsidRPr="00B74F9D" w:rsidRDefault="00A37826" w:rsidP="00B74F9D">
      <w:pPr>
        <w:pStyle w:val="BodyText"/>
        <w:jc w:val="both"/>
        <w:rPr>
          <w:rFonts w:ascii="Times New Roman" w:hAnsi="Times New Roman"/>
          <w:noProof/>
          <w:sz w:val="24"/>
        </w:rPr>
      </w:pPr>
    </w:p>
    <w:p w14:paraId="444DF640" w14:textId="77777777" w:rsidR="00D339CF" w:rsidRPr="00B74F9D" w:rsidRDefault="00D339CF" w:rsidP="00BC7F58">
      <w:pPr>
        <w:pStyle w:val="ListParagraph"/>
        <w:numPr>
          <w:ilvl w:val="0"/>
          <w:numId w:val="1"/>
        </w:numPr>
        <w:tabs>
          <w:tab w:val="left" w:pos="707"/>
        </w:tabs>
        <w:spacing w:before="120"/>
        <w:ind w:left="0" w:firstLine="0"/>
        <w:jc w:val="both"/>
        <w:rPr>
          <w:rFonts w:ascii="Times New Roman" w:hAnsi="Times New Roman"/>
          <w:noProof/>
          <w:sz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7DECC319" w14:textId="77777777" w:rsidR="00D339CF" w:rsidRPr="00B74F9D" w:rsidRDefault="00D339CF" w:rsidP="00BC7F58">
      <w:pPr>
        <w:pStyle w:val="ListParagraph"/>
        <w:numPr>
          <w:ilvl w:val="0"/>
          <w:numId w:val="1"/>
        </w:numPr>
        <w:tabs>
          <w:tab w:val="left" w:pos="707"/>
        </w:tabs>
        <w:spacing w:before="120"/>
        <w:ind w:left="0" w:firstLine="0"/>
        <w:jc w:val="both"/>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7F058BB7" w14:textId="77777777" w:rsidR="00D339CF" w:rsidRPr="00B74F9D" w:rsidRDefault="00D339CF" w:rsidP="00BC7F58">
      <w:pPr>
        <w:pStyle w:val="ListParagraph"/>
        <w:numPr>
          <w:ilvl w:val="0"/>
          <w:numId w:val="1"/>
        </w:numPr>
        <w:tabs>
          <w:tab w:val="left" w:pos="707"/>
        </w:tabs>
        <w:spacing w:before="120"/>
        <w:ind w:left="0" w:firstLine="0"/>
        <w:jc w:val="both"/>
        <w:rPr>
          <w:rFonts w:ascii="Times New Roman" w:hAnsi="Times New Roman"/>
          <w:noProof/>
          <w:sz w:val="24"/>
        </w:rPr>
      </w:pPr>
      <w:r>
        <w:rPr>
          <w:rFonts w:ascii="Times New Roman" w:hAnsi="Times New Roman"/>
          <w:sz w:val="24"/>
        </w:rPr>
        <w:t>divpunkte “(..)” norāda, ka pārējais teksts nav grozīts.</w:t>
      </w:r>
    </w:p>
    <w:p w14:paraId="12CDF294" w14:textId="77777777" w:rsidR="00D339CF" w:rsidRPr="00B74F9D" w:rsidRDefault="00D339CF" w:rsidP="00B74F9D">
      <w:pPr>
        <w:pStyle w:val="BodyText"/>
        <w:jc w:val="both"/>
        <w:rPr>
          <w:rFonts w:ascii="Times New Roman" w:hAnsi="Times New Roman"/>
          <w:noProof/>
          <w:sz w:val="24"/>
        </w:rPr>
      </w:pPr>
    </w:p>
    <w:p w14:paraId="01DFDE6D" w14:textId="77777777" w:rsidR="00D339CF" w:rsidRPr="00B74F9D" w:rsidRDefault="00D339CF" w:rsidP="00B74F9D">
      <w:pPr>
        <w:pStyle w:val="BodyText"/>
        <w:jc w:val="both"/>
        <w:rPr>
          <w:rFonts w:ascii="Times New Roman" w:hAnsi="Times New Roman"/>
          <w:noProof/>
          <w:sz w:val="24"/>
        </w:rPr>
      </w:pPr>
    </w:p>
    <w:p w14:paraId="0464BA18" w14:textId="77777777" w:rsidR="00D339CF" w:rsidRPr="00B74F9D" w:rsidRDefault="00D339CF" w:rsidP="00B74F9D">
      <w:pPr>
        <w:pStyle w:val="BodyText"/>
        <w:jc w:val="both"/>
        <w:rPr>
          <w:rFonts w:ascii="Times New Roman" w:hAnsi="Times New Roman"/>
          <w:noProof/>
          <w:sz w:val="24"/>
        </w:rPr>
      </w:pPr>
    </w:p>
    <w:p w14:paraId="2743CA91" w14:textId="77777777" w:rsidR="00D339CF" w:rsidRPr="00B74F9D" w:rsidRDefault="00D339CF" w:rsidP="00B74F9D">
      <w:pPr>
        <w:pStyle w:val="BodyText"/>
        <w:jc w:val="both"/>
        <w:rPr>
          <w:rFonts w:ascii="Times New Roman" w:hAnsi="Times New Roman"/>
          <w:noProof/>
          <w:sz w:val="24"/>
        </w:rPr>
      </w:pPr>
    </w:p>
    <w:p w14:paraId="6EBEEEB6" w14:textId="77777777" w:rsidR="00D339CF" w:rsidRPr="00B74F9D" w:rsidRDefault="00D339CF" w:rsidP="00B74F9D">
      <w:pPr>
        <w:pStyle w:val="BodyText"/>
        <w:jc w:val="both"/>
        <w:rPr>
          <w:rFonts w:ascii="Times New Roman" w:hAnsi="Times New Roman"/>
          <w:noProof/>
          <w:sz w:val="24"/>
        </w:rPr>
      </w:pPr>
    </w:p>
    <w:p w14:paraId="2DD8A91A" w14:textId="77777777" w:rsidR="00D339CF" w:rsidRPr="00B74F9D" w:rsidRDefault="00D339CF" w:rsidP="00B74F9D">
      <w:pPr>
        <w:pStyle w:val="BodyText"/>
        <w:jc w:val="both"/>
        <w:rPr>
          <w:rFonts w:ascii="Times New Roman" w:hAnsi="Times New Roman"/>
          <w:noProof/>
          <w:sz w:val="24"/>
        </w:rPr>
      </w:pPr>
    </w:p>
    <w:p w14:paraId="6BDC18BE" w14:textId="77777777" w:rsidR="00D339CF" w:rsidRPr="00B74F9D" w:rsidRDefault="00D339CF" w:rsidP="00B74F9D">
      <w:pPr>
        <w:pStyle w:val="BodyText"/>
        <w:jc w:val="both"/>
        <w:rPr>
          <w:rFonts w:ascii="Times New Roman" w:hAnsi="Times New Roman"/>
          <w:noProof/>
          <w:sz w:val="24"/>
        </w:rPr>
      </w:pPr>
    </w:p>
    <w:p w14:paraId="75AE2A1B" w14:textId="77777777" w:rsidR="00D339CF" w:rsidRPr="00B74F9D" w:rsidRDefault="00D339CF" w:rsidP="00B74F9D">
      <w:pPr>
        <w:pStyle w:val="BodyText"/>
        <w:jc w:val="both"/>
        <w:rPr>
          <w:rFonts w:ascii="Times New Roman" w:hAnsi="Times New Roman"/>
          <w:noProof/>
          <w:sz w:val="24"/>
        </w:rPr>
      </w:pPr>
    </w:p>
    <w:p w14:paraId="35923C07" w14:textId="77777777" w:rsidR="00D339CF" w:rsidRPr="00B74F9D" w:rsidRDefault="00D339CF" w:rsidP="00B74F9D">
      <w:pPr>
        <w:pStyle w:val="BodyText"/>
        <w:jc w:val="both"/>
        <w:rPr>
          <w:rFonts w:ascii="Times New Roman" w:hAnsi="Times New Roman"/>
          <w:noProof/>
          <w:sz w:val="24"/>
        </w:rPr>
      </w:pPr>
    </w:p>
    <w:p w14:paraId="4615B9E0" w14:textId="77777777" w:rsidR="00D339CF" w:rsidRPr="00B74F9D" w:rsidRDefault="00D339CF" w:rsidP="00B74F9D">
      <w:pPr>
        <w:pStyle w:val="BodyText"/>
        <w:jc w:val="both"/>
        <w:rPr>
          <w:rFonts w:ascii="Times New Roman" w:hAnsi="Times New Roman"/>
          <w:noProof/>
          <w:sz w:val="24"/>
        </w:rPr>
      </w:pPr>
    </w:p>
    <w:p w14:paraId="4A889E57" w14:textId="77777777" w:rsidR="00D339CF" w:rsidRPr="00B74F9D" w:rsidRDefault="00D339CF" w:rsidP="00B74F9D">
      <w:pPr>
        <w:pStyle w:val="BodyText"/>
        <w:jc w:val="both"/>
        <w:rPr>
          <w:rFonts w:ascii="Times New Roman" w:hAnsi="Times New Roman"/>
          <w:noProof/>
          <w:sz w:val="24"/>
        </w:rPr>
      </w:pPr>
    </w:p>
    <w:p w14:paraId="762F52E2" w14:textId="77777777" w:rsidR="00D339CF" w:rsidRPr="00B74F9D" w:rsidRDefault="00D339CF" w:rsidP="00B74F9D">
      <w:pPr>
        <w:pStyle w:val="BodyText"/>
        <w:jc w:val="both"/>
        <w:rPr>
          <w:rFonts w:ascii="Times New Roman" w:hAnsi="Times New Roman"/>
          <w:noProof/>
          <w:sz w:val="24"/>
        </w:rPr>
      </w:pPr>
    </w:p>
    <w:p w14:paraId="108B9BCB" w14:textId="77777777" w:rsidR="00D339CF" w:rsidRPr="00B74F9D" w:rsidRDefault="00D339CF" w:rsidP="00B74F9D">
      <w:pPr>
        <w:pStyle w:val="BodyText"/>
        <w:jc w:val="both"/>
        <w:rPr>
          <w:rFonts w:ascii="Times New Roman" w:hAnsi="Times New Roman"/>
          <w:noProof/>
          <w:sz w:val="24"/>
        </w:rPr>
      </w:pPr>
    </w:p>
    <w:p w14:paraId="56E47F9B" w14:textId="77777777" w:rsidR="00D339CF" w:rsidRPr="00B74F9D" w:rsidRDefault="00D339CF" w:rsidP="00B74F9D">
      <w:pPr>
        <w:pStyle w:val="BodyText"/>
        <w:jc w:val="both"/>
        <w:rPr>
          <w:rFonts w:ascii="Times New Roman" w:hAnsi="Times New Roman"/>
          <w:noProof/>
          <w:sz w:val="24"/>
        </w:rPr>
      </w:pPr>
    </w:p>
    <w:p w14:paraId="17003461" w14:textId="77777777" w:rsidR="00D339CF" w:rsidRPr="00B74F9D" w:rsidRDefault="00D339CF" w:rsidP="00B74F9D">
      <w:pPr>
        <w:pStyle w:val="BodyText"/>
        <w:jc w:val="both"/>
        <w:rPr>
          <w:rFonts w:ascii="Times New Roman" w:hAnsi="Times New Roman"/>
          <w:noProof/>
          <w:sz w:val="24"/>
        </w:rPr>
      </w:pPr>
    </w:p>
    <w:p w14:paraId="7DE62342" w14:textId="77777777" w:rsidR="00D339CF" w:rsidRPr="00B74F9D" w:rsidRDefault="00D339CF" w:rsidP="00B74F9D">
      <w:pPr>
        <w:pStyle w:val="BodyText"/>
        <w:jc w:val="both"/>
        <w:rPr>
          <w:rFonts w:ascii="Times New Roman" w:hAnsi="Times New Roman"/>
          <w:noProof/>
          <w:sz w:val="24"/>
        </w:rPr>
      </w:pPr>
    </w:p>
    <w:p w14:paraId="00E399C2" w14:textId="77777777" w:rsidR="00D339CF" w:rsidRPr="00B74F9D" w:rsidRDefault="00D339CF" w:rsidP="00B74F9D">
      <w:pPr>
        <w:pStyle w:val="BodyText"/>
        <w:jc w:val="both"/>
        <w:rPr>
          <w:rFonts w:ascii="Times New Roman" w:hAnsi="Times New Roman"/>
          <w:noProof/>
          <w:sz w:val="24"/>
        </w:rPr>
      </w:pPr>
    </w:p>
    <w:p w14:paraId="368E67D7" w14:textId="77777777" w:rsidR="00D339CF" w:rsidRPr="00B74F9D" w:rsidRDefault="00D339CF" w:rsidP="00B74F9D">
      <w:pPr>
        <w:pStyle w:val="BodyText"/>
        <w:jc w:val="both"/>
        <w:rPr>
          <w:rFonts w:ascii="Times New Roman" w:hAnsi="Times New Roman"/>
          <w:noProof/>
          <w:sz w:val="24"/>
        </w:rPr>
      </w:pPr>
    </w:p>
    <w:p w14:paraId="10327E13" w14:textId="77777777" w:rsidR="00D339CF" w:rsidRPr="00B74F9D" w:rsidRDefault="00D339CF" w:rsidP="00B74F9D">
      <w:pPr>
        <w:pStyle w:val="BodyText"/>
        <w:jc w:val="both"/>
        <w:rPr>
          <w:rFonts w:ascii="Times New Roman" w:hAnsi="Times New Roman"/>
          <w:noProof/>
          <w:sz w:val="24"/>
        </w:rPr>
      </w:pPr>
    </w:p>
    <w:p w14:paraId="7C1B4B1B" w14:textId="77777777" w:rsidR="00D339CF" w:rsidRPr="00B74F9D" w:rsidRDefault="00D339CF" w:rsidP="00B74F9D">
      <w:pPr>
        <w:pStyle w:val="BodyText"/>
        <w:jc w:val="both"/>
        <w:rPr>
          <w:rFonts w:ascii="Times New Roman" w:hAnsi="Times New Roman"/>
          <w:noProof/>
          <w:sz w:val="24"/>
        </w:rPr>
      </w:pPr>
    </w:p>
    <w:p w14:paraId="3E1D5175" w14:textId="77777777" w:rsidR="00D339CF" w:rsidRPr="00B74F9D" w:rsidRDefault="00D339CF" w:rsidP="00B74F9D">
      <w:pPr>
        <w:pStyle w:val="BodyText"/>
        <w:jc w:val="both"/>
        <w:rPr>
          <w:rFonts w:ascii="Times New Roman" w:hAnsi="Times New Roman"/>
          <w:noProof/>
          <w:sz w:val="24"/>
        </w:rPr>
      </w:pPr>
    </w:p>
    <w:p w14:paraId="05CAB8B8" w14:textId="77777777" w:rsidR="00D339CF" w:rsidRPr="00B74F9D" w:rsidRDefault="00D339CF" w:rsidP="00B74F9D">
      <w:pPr>
        <w:pStyle w:val="BodyText"/>
        <w:jc w:val="both"/>
        <w:rPr>
          <w:rFonts w:ascii="Times New Roman" w:hAnsi="Times New Roman"/>
          <w:noProof/>
          <w:sz w:val="24"/>
        </w:rPr>
      </w:pPr>
    </w:p>
    <w:p w14:paraId="4D1D1BB2" w14:textId="77777777" w:rsidR="00D339CF" w:rsidRPr="00B74F9D" w:rsidRDefault="00D339CF" w:rsidP="00B74F9D">
      <w:pPr>
        <w:pStyle w:val="BodyText"/>
        <w:jc w:val="both"/>
        <w:rPr>
          <w:rFonts w:ascii="Times New Roman" w:hAnsi="Times New Roman"/>
          <w:noProof/>
          <w:sz w:val="24"/>
        </w:rPr>
      </w:pPr>
    </w:p>
    <w:p w14:paraId="70BC65FC" w14:textId="77777777" w:rsidR="00D339CF" w:rsidRPr="00B74F9D" w:rsidRDefault="00D339CF" w:rsidP="00B74F9D">
      <w:pPr>
        <w:pStyle w:val="BodyText"/>
        <w:jc w:val="both"/>
        <w:rPr>
          <w:rFonts w:ascii="Times New Roman" w:hAnsi="Times New Roman"/>
          <w:noProof/>
          <w:sz w:val="24"/>
        </w:rPr>
      </w:pPr>
    </w:p>
    <w:p w14:paraId="06A16B16" w14:textId="77777777" w:rsidR="00D339CF" w:rsidRPr="00B74F9D" w:rsidRDefault="00D339CF" w:rsidP="00B74F9D">
      <w:pPr>
        <w:pStyle w:val="BodyText"/>
        <w:jc w:val="both"/>
        <w:rPr>
          <w:rFonts w:ascii="Times New Roman" w:hAnsi="Times New Roman"/>
          <w:noProof/>
          <w:sz w:val="24"/>
        </w:rPr>
      </w:pPr>
    </w:p>
    <w:p w14:paraId="7995EC40" w14:textId="77777777" w:rsidR="00D339CF" w:rsidRPr="00B74F9D" w:rsidRDefault="00D339CF" w:rsidP="00B74F9D">
      <w:pPr>
        <w:pStyle w:val="BodyText"/>
        <w:jc w:val="both"/>
        <w:rPr>
          <w:rFonts w:ascii="Times New Roman" w:hAnsi="Times New Roman"/>
          <w:noProof/>
          <w:sz w:val="24"/>
        </w:rPr>
      </w:pPr>
    </w:p>
    <w:p w14:paraId="07955B79" w14:textId="77777777" w:rsidR="00D339CF" w:rsidRPr="00B74F9D" w:rsidRDefault="00D339CF" w:rsidP="00B74F9D">
      <w:pPr>
        <w:pStyle w:val="BodyText"/>
        <w:jc w:val="both"/>
        <w:rPr>
          <w:rFonts w:ascii="Times New Roman" w:hAnsi="Times New Roman"/>
          <w:noProof/>
          <w:sz w:val="24"/>
        </w:rPr>
      </w:pPr>
    </w:p>
    <w:p w14:paraId="3A23C14A" w14:textId="77777777" w:rsidR="00D339CF" w:rsidRPr="00B74F9D" w:rsidRDefault="00D339CF" w:rsidP="00B74F9D">
      <w:pPr>
        <w:pStyle w:val="BodyText"/>
        <w:jc w:val="both"/>
        <w:rPr>
          <w:rFonts w:ascii="Times New Roman" w:hAnsi="Times New Roman"/>
          <w:noProof/>
          <w:sz w:val="24"/>
        </w:rPr>
      </w:pPr>
    </w:p>
    <w:p w14:paraId="08BB0D20" w14:textId="77777777" w:rsidR="00D339CF" w:rsidRPr="00B74F9D" w:rsidRDefault="00D339CF" w:rsidP="00B74F9D">
      <w:pPr>
        <w:pStyle w:val="BodyText"/>
        <w:jc w:val="both"/>
        <w:rPr>
          <w:rFonts w:ascii="Times New Roman" w:hAnsi="Times New Roman"/>
          <w:noProof/>
          <w:sz w:val="24"/>
        </w:rPr>
      </w:pPr>
    </w:p>
    <w:p w14:paraId="0AF344EB" w14:textId="77777777" w:rsidR="00D339CF" w:rsidRPr="00B74F9D" w:rsidRDefault="00D339CF" w:rsidP="00B74F9D">
      <w:pPr>
        <w:pStyle w:val="BodyText"/>
        <w:jc w:val="both"/>
        <w:rPr>
          <w:rFonts w:ascii="Times New Roman" w:hAnsi="Times New Roman"/>
          <w:noProof/>
          <w:sz w:val="24"/>
        </w:rPr>
      </w:pPr>
    </w:p>
    <w:p w14:paraId="31A79901" w14:textId="77777777" w:rsidR="00D339CF" w:rsidRPr="00A37826" w:rsidRDefault="00D339CF" w:rsidP="00B74F9D">
      <w:pPr>
        <w:jc w:val="both"/>
        <w:rPr>
          <w:rFonts w:ascii="Times New Roman" w:hAnsi="Times New Roman"/>
          <w:b/>
          <w:i/>
          <w:noProof/>
        </w:rPr>
      </w:pPr>
      <w:r>
        <w:rPr>
          <w:rFonts w:ascii="Times New Roman" w:hAnsi="Times New Roman"/>
          <w:b/>
          <w:i/>
        </w:rPr>
        <w:t>Piezīme lasītājam</w:t>
      </w:r>
    </w:p>
    <w:p w14:paraId="05A58698" w14:textId="77777777" w:rsidR="00D339CF" w:rsidRPr="00A37826" w:rsidRDefault="00D339CF" w:rsidP="00B74F9D">
      <w:pPr>
        <w:jc w:val="both"/>
        <w:rPr>
          <w:rFonts w:ascii="Times New Roman" w:hAnsi="Times New Roman"/>
          <w:i/>
          <w:noProof/>
        </w:rPr>
      </w:pPr>
      <w:r>
        <w:rPr>
          <w:rFonts w:ascii="Times New Roman" w:hAnsi="Times New Roman"/>
          <w:i/>
        </w:rPr>
        <w:t xml:space="preserve">Grozītajā un jo īpaši esošajā (proti, nemainītajā) tekstā termins </w:t>
      </w:r>
      <w:r>
        <w:rPr>
          <w:rFonts w:ascii="Times New Roman" w:hAnsi="Times New Roman"/>
        </w:rPr>
        <w:t xml:space="preserve">“aģentūra” </w:t>
      </w:r>
      <w:r>
        <w:rPr>
          <w:rFonts w:ascii="Times New Roman" w:hAnsi="Times New Roman"/>
          <w:i/>
        </w:rPr>
        <w:t xml:space="preserve">tiek lietots pamīšus terminam </w:t>
      </w:r>
      <w:r>
        <w:rPr>
          <w:rFonts w:ascii="Times New Roman" w:hAnsi="Times New Roman"/>
        </w:rPr>
        <w:t>“</w:t>
      </w:r>
      <w:r>
        <w:rPr>
          <w:rFonts w:ascii="Times New Roman" w:hAnsi="Times New Roman"/>
          <w:i/>
          <w:iCs/>
        </w:rPr>
        <w:t>EASA</w:t>
      </w:r>
      <w:r>
        <w:rPr>
          <w:rFonts w:ascii="Times New Roman" w:hAnsi="Times New Roman"/>
        </w:rPr>
        <w:t>”</w:t>
      </w:r>
      <w:r>
        <w:rPr>
          <w:rFonts w:ascii="Times New Roman" w:hAnsi="Times New Roman"/>
          <w:i/>
        </w:rPr>
        <w:t xml:space="preserve">. Šo abu terminu pamīšais lietojums ir izteiktāks konsolidētajās redakcijās. Tāpēc lūdzam ņemt vērā, ka abi termini attiecas uz </w:t>
      </w:r>
      <w:r>
        <w:rPr>
          <w:rFonts w:ascii="Times New Roman" w:hAnsi="Times New Roman"/>
        </w:rPr>
        <w:t>“Eiropas Aviācijas drošības aģentūru (</w:t>
      </w:r>
      <w:r>
        <w:rPr>
          <w:rFonts w:ascii="Times New Roman" w:hAnsi="Times New Roman"/>
          <w:i/>
          <w:iCs/>
        </w:rPr>
        <w:t>EASA</w:t>
      </w:r>
      <w:r>
        <w:rPr>
          <w:rFonts w:ascii="Times New Roman" w:hAnsi="Times New Roman"/>
        </w:rPr>
        <w:t>)”</w:t>
      </w:r>
      <w:r>
        <w:rPr>
          <w:rFonts w:ascii="Times New Roman" w:hAnsi="Times New Roman"/>
          <w:i/>
        </w:rPr>
        <w:t>.</w:t>
      </w:r>
    </w:p>
    <w:p w14:paraId="126D326D" w14:textId="77777777" w:rsidR="00BC7F58" w:rsidRDefault="00BC7F58" w:rsidP="00B74F9D">
      <w:pPr>
        <w:jc w:val="both"/>
        <w:rPr>
          <w:rFonts w:ascii="Times New Roman" w:hAnsi="Times New Roman"/>
          <w:noProof/>
          <w:sz w:val="24"/>
        </w:rPr>
      </w:pPr>
    </w:p>
    <w:p w14:paraId="346EE27A" w14:textId="0A61CAA4" w:rsidR="00C2463C" w:rsidRDefault="00C2463C" w:rsidP="00C2463C">
      <w:pPr>
        <w:jc w:val="both"/>
        <w:rPr>
          <w:rFonts w:ascii="Times New Roman" w:hAnsi="Times New Roman"/>
          <w:noProof/>
          <w:sz w:val="24"/>
        </w:rPr>
      </w:pPr>
      <w:r>
        <w:rPr>
          <w:rFonts w:ascii="Times New Roman" w:hAnsi="Times New Roman"/>
          <w:noProof/>
          <w:sz w:val="24"/>
        </w:rPr>
        <w:drawing>
          <wp:anchor distT="0" distB="0" distL="0" distR="0" simplePos="0" relativeHeight="251656704" behindDoc="0" locked="0" layoutInCell="1" allowOverlap="1" wp14:anchorId="3D5F5B26" wp14:editId="50B15964">
            <wp:simplePos x="0" y="0"/>
            <wp:positionH relativeFrom="page">
              <wp:posOffset>1097121</wp:posOffset>
            </wp:positionH>
            <wp:positionV relativeFrom="paragraph">
              <wp:posOffset>-635</wp:posOffset>
            </wp:positionV>
            <wp:extent cx="1266825" cy="397052"/>
            <wp:effectExtent l="0" t="0" r="0" b="0"/>
            <wp:wrapNone/>
            <wp:docPr id="4" name="Image 4" descr="A blue and black logo&#10;&#10;AI-generated content may be incorrect.">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black logo&#10;&#10;AI-generated content may be incorrect.">
                      <a:hlinkClick r:id="rId11"/>
                    </pic:cNvPr>
                    <pic:cNvPicPr/>
                  </pic:nvPicPr>
                  <pic:blipFill>
                    <a:blip r:embed="rId12" cstate="print"/>
                    <a:stretch>
                      <a:fillRect/>
                    </a:stretch>
                  </pic:blipFill>
                  <pic:spPr>
                    <a:xfrm>
                      <a:off x="0" y="0"/>
                      <a:ext cx="1266825" cy="397052"/>
                    </a:xfrm>
                    <a:prstGeom prst="rect">
                      <a:avLst/>
                    </a:prstGeom>
                  </pic:spPr>
                </pic:pic>
              </a:graphicData>
            </a:graphic>
          </wp:anchor>
        </w:drawing>
      </w:r>
    </w:p>
    <w:p w14:paraId="35B4AE14" w14:textId="506D22F1" w:rsidR="00D339CF" w:rsidRPr="00B74F9D" w:rsidRDefault="00D339CF" w:rsidP="00C2463C">
      <w:pPr>
        <w:jc w:val="both"/>
        <w:rPr>
          <w:rFonts w:ascii="Times New Roman" w:hAnsi="Times New Roman"/>
          <w:i/>
          <w:noProof/>
          <w:sz w:val="24"/>
        </w:rPr>
      </w:pPr>
    </w:p>
    <w:p w14:paraId="6F86FD32" w14:textId="77777777" w:rsidR="00D339CF" w:rsidRPr="00B74F9D" w:rsidRDefault="00D339CF" w:rsidP="00B74F9D">
      <w:pPr>
        <w:pStyle w:val="BodyText"/>
        <w:jc w:val="both"/>
        <w:rPr>
          <w:rFonts w:ascii="Times New Roman" w:hAnsi="Times New Roman"/>
          <w:i/>
          <w:noProof/>
          <w:sz w:val="24"/>
        </w:rPr>
      </w:pPr>
    </w:p>
    <w:p w14:paraId="428D0F9F" w14:textId="77777777" w:rsidR="00C2463C" w:rsidRDefault="00C2463C" w:rsidP="00B74F9D">
      <w:pPr>
        <w:pStyle w:val="BodyText"/>
        <w:jc w:val="both"/>
        <w:rPr>
          <w:rFonts w:ascii="Times New Roman" w:hAnsi="Times New Roman"/>
          <w:noProof/>
          <w:sz w:val="24"/>
        </w:rPr>
      </w:pPr>
    </w:p>
    <w:p w14:paraId="28AC4F64" w14:textId="5AFD4D58" w:rsidR="00D339CF" w:rsidRPr="00B74F9D" w:rsidRDefault="00D339CF" w:rsidP="00B74F9D">
      <w:pPr>
        <w:pStyle w:val="BodyText"/>
        <w:jc w:val="both"/>
        <w:rPr>
          <w:rFonts w:ascii="Times New Roman" w:hAnsi="Times New Roman"/>
          <w:noProof/>
          <w:sz w:val="24"/>
        </w:rPr>
      </w:pPr>
      <w:r>
        <w:rPr>
          <w:rFonts w:ascii="Times New Roman" w:hAnsi="Times New Roman"/>
          <w:sz w:val="24"/>
        </w:rPr>
        <w:t>Aģentūras izpilddirektora 2018. gada 14. septembra Lēmuma 2018/009/R IV pielikumu groza, kā norādīts turpmāk.</w:t>
      </w:r>
    </w:p>
    <w:p w14:paraId="756E7C47" w14:textId="77777777" w:rsidR="00D339CF" w:rsidRPr="00B74F9D" w:rsidRDefault="00D339CF" w:rsidP="00B74F9D">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C2463C" w14:paraId="1E7083FB" w14:textId="77777777" w:rsidTr="00182327">
        <w:tc>
          <w:tcPr>
            <w:tcW w:w="5000" w:type="pct"/>
            <w:shd w:val="clear" w:color="auto" w:fill="00B050"/>
          </w:tcPr>
          <w:p w14:paraId="4029CB7E" w14:textId="01D705D2" w:rsidR="00C2463C" w:rsidRPr="00182327" w:rsidRDefault="00182327" w:rsidP="00B74F9D">
            <w:pPr>
              <w:pStyle w:val="BodyText"/>
              <w:jc w:val="both"/>
              <w:rPr>
                <w:rFonts w:ascii="Times New Roman" w:hAnsi="Times New Roman"/>
                <w:b/>
                <w:bCs/>
                <w:noProof/>
                <w:sz w:val="24"/>
              </w:rPr>
            </w:pPr>
            <w:r>
              <w:rPr>
                <w:rFonts w:ascii="Times New Roman" w:hAnsi="Times New Roman"/>
                <w:b/>
                <w:color w:val="FFFFFF" w:themeColor="background1"/>
                <w:sz w:val="28"/>
                <w:highlight w:val="cyan"/>
              </w:rPr>
              <w:t>GM1 par 2. panta “Definīcijas” 8.c) apakšpunktu</w:t>
            </w:r>
          </w:p>
        </w:tc>
      </w:tr>
    </w:tbl>
    <w:p w14:paraId="3BA8D998" w14:textId="58353606" w:rsidR="00D339CF" w:rsidRPr="00B74F9D" w:rsidRDefault="00D339CF" w:rsidP="00B74F9D">
      <w:pPr>
        <w:pStyle w:val="BodyText"/>
        <w:jc w:val="both"/>
        <w:rPr>
          <w:rFonts w:ascii="Times New Roman" w:hAnsi="Times New Roman"/>
          <w:noProof/>
          <w:sz w:val="24"/>
        </w:rPr>
      </w:pPr>
    </w:p>
    <w:p w14:paraId="57B05E4E" w14:textId="77777777" w:rsidR="00D339CF" w:rsidRDefault="00D339CF" w:rsidP="00B74F9D">
      <w:pPr>
        <w:jc w:val="both"/>
        <w:rPr>
          <w:rFonts w:ascii="Times New Roman" w:hAnsi="Times New Roman"/>
          <w:b/>
          <w:noProof/>
          <w:color w:val="000000"/>
          <w:sz w:val="24"/>
        </w:rPr>
      </w:pPr>
      <w:r>
        <w:rPr>
          <w:rFonts w:ascii="Times New Roman" w:hAnsi="Times New Roman"/>
          <w:b/>
          <w:color w:val="000000"/>
          <w:sz w:val="24"/>
          <w:highlight w:val="cyan"/>
        </w:rPr>
        <w:t>TERMINA “ATSEVIŠĶA VILCES KONTROLES SVIRA” NOZĪME</w:t>
      </w:r>
    </w:p>
    <w:p w14:paraId="22086A40" w14:textId="77777777" w:rsidR="006C5B89" w:rsidRDefault="006C5B89" w:rsidP="00B74F9D">
      <w:pPr>
        <w:jc w:val="both"/>
        <w:rPr>
          <w:rFonts w:ascii="Times New Roman" w:hAnsi="Times New Roman"/>
          <w:b/>
          <w:noProof/>
          <w:color w:val="000000"/>
          <w:sz w:val="24"/>
        </w:rPr>
      </w:pPr>
    </w:p>
    <w:p w14:paraId="48A19025" w14:textId="19756027" w:rsidR="006C5B89" w:rsidRPr="006C5B89" w:rsidRDefault="006C5B89" w:rsidP="00B74F9D">
      <w:pPr>
        <w:jc w:val="both"/>
        <w:rPr>
          <w:rFonts w:ascii="Times New Roman" w:hAnsi="Times New Roman"/>
          <w:bCs/>
          <w:noProof/>
          <w:color w:val="000000"/>
          <w:sz w:val="24"/>
        </w:rPr>
      </w:pPr>
      <w:r>
        <w:rPr>
          <w:rFonts w:ascii="Times New Roman" w:hAnsi="Times New Roman"/>
          <w:i/>
          <w:iCs/>
          <w:color w:val="000000"/>
          <w:sz w:val="24"/>
          <w:highlight w:val="cyan"/>
        </w:rPr>
        <w:t>SEP</w:t>
      </w:r>
      <w:r>
        <w:rPr>
          <w:rFonts w:ascii="Times New Roman" w:hAnsi="Times New Roman"/>
          <w:color w:val="000000"/>
          <w:sz w:val="24"/>
          <w:highlight w:val="cyan"/>
        </w:rPr>
        <w:t xml:space="preserve"> lidmašīnu klase, kā definēts 2. panta 8.c) apakšpunktā, ietver lidmašīnas, kuru atsevišķo dzinējiekārtu (propelleru) darbina vairāk nekā viens dzinējs (piemēram, hibrīda dzinēju sistēma, kas sastāv no virzuļdzinēja un elektromotora). Neskatoties uz šādu “daudzdzinēju” spēka iekārtu sistēmu, šāds gaisa kuģis</w:t>
      </w:r>
      <w:r w:rsidR="00934A63">
        <w:rPr>
          <w:rStyle w:val="FootnoteReference"/>
          <w:rFonts w:ascii="Times New Roman" w:hAnsi="Times New Roman"/>
          <w:color w:val="000000"/>
          <w:sz w:val="24"/>
          <w:highlight w:val="cyan"/>
        </w:rPr>
        <w:footnoteReference w:customMarkFollows="1" w:id="1"/>
        <w:t>*</w:t>
      </w:r>
      <w:r>
        <w:rPr>
          <w:rFonts w:ascii="Times New Roman" w:hAnsi="Times New Roman"/>
          <w:color w:val="000000"/>
          <w:sz w:val="24"/>
          <w:highlight w:val="cyan"/>
        </w:rPr>
        <w:t xml:space="preserve"> var atbilst viena dzinēja lidmašīnu licencēšanas sistēmai, jo viena dzinēja darbības traucējumi izraisa (daļēju) jaudas zudumu, bet nekad neizraisa asimetrisku lidojuma stāvokli. Tādējādi, ja konkrētas lidmašīnas sertificēšanas procesā tiek konstatēts, ka no pilota viedokļa nav atšķirības starp parastās viena dzinēja spēka iekārtas un iepriekš aprakstītās daudzdzinēju viena propellera spēka iekārtas darbību sertificējamajā lidmašīnā, šo lidmašīnu lidojuma apkalpes licencēšanas nolūkos var uzskatīt par viena dzinēja lidmašīnu. Šajā saistībā termins “atsevišķa vilces kontroles svira” attiecas uz inovatīvas spēka iekārtas dzinēja vadības ierīcēm, kas ir līdzvērtīgas parastās viena dzinēja spēka iekārtas dzinēja vadības ierīcēm.</w:t>
      </w:r>
    </w:p>
    <w:p w14:paraId="7985631F" w14:textId="77777777" w:rsidR="00D339CF" w:rsidRPr="00B74F9D" w:rsidRDefault="00D339CF" w:rsidP="00B74F9D">
      <w:pPr>
        <w:pStyle w:val="BodyText"/>
        <w:jc w:val="both"/>
        <w:rPr>
          <w:rFonts w:ascii="Times New Roman" w:hAnsi="Times New Roman"/>
          <w:b/>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5"/>
        <w:gridCol w:w="4244"/>
      </w:tblGrid>
      <w:tr w:rsidR="00D339CF" w:rsidRPr="00B74F9D" w14:paraId="287BD6BD" w14:textId="77777777" w:rsidTr="00264034">
        <w:trPr>
          <w:trHeight w:val="520"/>
        </w:trPr>
        <w:tc>
          <w:tcPr>
            <w:tcW w:w="4205" w:type="dxa"/>
            <w:tcBorders>
              <w:bottom w:val="nil"/>
              <w:right w:val="nil"/>
            </w:tcBorders>
          </w:tcPr>
          <w:p w14:paraId="0D38932D" w14:textId="77777777" w:rsidR="00D339CF" w:rsidRPr="00B74F9D" w:rsidRDefault="00D339CF" w:rsidP="006C5B89">
            <w:pPr>
              <w:pStyle w:val="TableParagraph"/>
              <w:spacing w:line="240" w:lineRule="auto"/>
              <w:ind w:left="142"/>
              <w:jc w:val="both"/>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4E72E303" w14:textId="77777777" w:rsidR="00D339CF" w:rsidRPr="00B74F9D" w:rsidRDefault="00D339CF" w:rsidP="006C5B89">
            <w:pPr>
              <w:pStyle w:val="TableParagraph"/>
              <w:spacing w:line="240" w:lineRule="auto"/>
              <w:ind w:left="3022"/>
              <w:jc w:val="both"/>
              <w:rPr>
                <w:rFonts w:ascii="Times New Roman" w:hAnsi="Times New Roman"/>
                <w:i/>
                <w:noProof/>
                <w:sz w:val="24"/>
              </w:rPr>
            </w:pPr>
            <w:r>
              <w:rPr>
                <w:rFonts w:ascii="Times New Roman" w:hAnsi="Times New Roman"/>
                <w:i/>
                <w:sz w:val="24"/>
              </w:rPr>
              <w:t>RMT.0678</w:t>
            </w:r>
          </w:p>
        </w:tc>
      </w:tr>
      <w:tr w:rsidR="00D339CF" w:rsidRPr="00B74F9D" w14:paraId="7243EB4B" w14:textId="77777777" w:rsidTr="00264034">
        <w:trPr>
          <w:trHeight w:val="1364"/>
        </w:trPr>
        <w:tc>
          <w:tcPr>
            <w:tcW w:w="8449" w:type="dxa"/>
            <w:gridSpan w:val="2"/>
            <w:tcBorders>
              <w:top w:val="nil"/>
            </w:tcBorders>
          </w:tcPr>
          <w:p w14:paraId="31E9D2AC" w14:textId="77777777" w:rsidR="00D339CF" w:rsidRPr="00B74F9D" w:rsidRDefault="00D339CF" w:rsidP="006C5B89">
            <w:pPr>
              <w:pStyle w:val="TableParagraph"/>
              <w:spacing w:after="60" w:line="240" w:lineRule="auto"/>
              <w:ind w:left="113" w:right="113"/>
              <w:jc w:val="both"/>
              <w:rPr>
                <w:rFonts w:ascii="Times New Roman" w:hAnsi="Times New Roman"/>
                <w:noProof/>
                <w:sz w:val="24"/>
              </w:rPr>
            </w:pPr>
            <w:r>
              <w:rPr>
                <w:rFonts w:ascii="Times New Roman" w:hAnsi="Times New Roman"/>
                <w:sz w:val="24"/>
              </w:rPr>
              <w:t xml:space="preserve">Pēc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 termins “atsevišķa jaudas kontroles svira” 2. panta 8.c) apakšpunkta ievadfrāzē tika mainīts uz “atsevišķa vilces kontroles svira” (skat. iepriekš). Šajā saistībā un pēc komentāriem tiek ierosinātas šīs jaunās vadlīnijas, lai precizētu šā termina nozīmi.</w:t>
            </w:r>
          </w:p>
        </w:tc>
      </w:tr>
    </w:tbl>
    <w:p w14:paraId="32A6A225" w14:textId="77777777" w:rsidR="00D339CF" w:rsidRPr="00B74F9D" w:rsidRDefault="00D339CF" w:rsidP="00B74F9D">
      <w:pPr>
        <w:jc w:val="both"/>
        <w:rPr>
          <w:rFonts w:ascii="Times New Roman" w:hAnsi="Times New Roman"/>
          <w:noProof/>
          <w:sz w:val="24"/>
        </w:rPr>
      </w:pPr>
    </w:p>
    <w:sectPr w:rsidR="00D339CF" w:rsidRPr="00B74F9D" w:rsidSect="00B74F9D">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C76C" w14:textId="77777777" w:rsidR="00CC35BA" w:rsidRPr="00D339CF" w:rsidRDefault="00CC35BA">
      <w:pPr>
        <w:rPr>
          <w:noProof/>
        </w:rPr>
      </w:pPr>
      <w:r w:rsidRPr="00D339CF">
        <w:rPr>
          <w:noProof/>
        </w:rPr>
        <w:separator/>
      </w:r>
    </w:p>
  </w:endnote>
  <w:endnote w:type="continuationSeparator" w:id="0">
    <w:p w14:paraId="2B605D31" w14:textId="77777777" w:rsidR="00CC35BA" w:rsidRPr="00D339CF" w:rsidRDefault="00CC35BA">
      <w:pPr>
        <w:rPr>
          <w:noProof/>
        </w:rPr>
      </w:pPr>
      <w:r w:rsidRPr="00D339C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546E" w14:textId="77777777" w:rsidR="00934A63" w:rsidRPr="00934A63" w:rsidRDefault="00934A63" w:rsidP="00934A63">
    <w:pPr>
      <w:tabs>
        <w:tab w:val="center" w:pos="4513"/>
        <w:tab w:val="right" w:pos="9026"/>
        <w:tab w:val="left" w:pos="9072"/>
      </w:tabs>
      <w:autoSpaceDE/>
      <w:autoSpaceDN/>
      <w:rPr>
        <w:rFonts w:ascii="Times New Roman" w:eastAsiaTheme="minorHAnsi" w:hAnsi="Times New Roman" w:cs="Times New Roman"/>
        <w:sz w:val="20"/>
        <w:szCs w:val="18"/>
      </w:rPr>
    </w:pPr>
  </w:p>
  <w:p w14:paraId="1483DFDF" w14:textId="77777777" w:rsidR="00934A63" w:rsidRPr="00934A63" w:rsidRDefault="00934A63" w:rsidP="00934A63">
    <w:pPr>
      <w:tabs>
        <w:tab w:val="right" w:leader="underscore" w:pos="9072"/>
      </w:tabs>
      <w:autoSpaceDE/>
      <w:autoSpaceDN/>
      <w:rPr>
        <w:rFonts w:ascii="Times New Roman" w:eastAsiaTheme="minorHAnsi" w:hAnsi="Times New Roman" w:cs="Times New Roman"/>
        <w:sz w:val="20"/>
        <w:szCs w:val="18"/>
      </w:rPr>
    </w:pPr>
    <w:r w:rsidRPr="00934A63">
      <w:rPr>
        <w:rFonts w:ascii="Times New Roman" w:eastAsiaTheme="minorHAnsi" w:hAnsi="Times New Roman" w:cs="Times New Roman"/>
        <w:sz w:val="20"/>
        <w:szCs w:val="18"/>
      </w:rPr>
      <w:tab/>
    </w:r>
  </w:p>
  <w:p w14:paraId="223034AC" w14:textId="77777777" w:rsidR="00934A63" w:rsidRPr="00934A63" w:rsidRDefault="00934A63" w:rsidP="00934A63">
    <w:pPr>
      <w:tabs>
        <w:tab w:val="center" w:pos="4513"/>
        <w:tab w:val="right" w:pos="9026"/>
        <w:tab w:val="right" w:pos="9072"/>
      </w:tabs>
      <w:autoSpaceDE/>
      <w:autoSpaceDN/>
      <w:rPr>
        <w:rFonts w:ascii="Times New Roman" w:eastAsiaTheme="minorHAnsi" w:hAnsi="Times New Roman" w:cs="Times New Roman"/>
        <w:sz w:val="20"/>
        <w:szCs w:val="18"/>
      </w:rPr>
    </w:pPr>
  </w:p>
  <w:p w14:paraId="2D3121D3" w14:textId="04D8730A" w:rsidR="00037515" w:rsidRPr="00934A63" w:rsidRDefault="00934A63" w:rsidP="00934A63">
    <w:pPr>
      <w:tabs>
        <w:tab w:val="right" w:pos="9072"/>
      </w:tabs>
      <w:autoSpaceDE/>
      <w:autoSpaceDN/>
      <w:rPr>
        <w:rFonts w:ascii="Times New Roman" w:eastAsiaTheme="minorHAnsi" w:hAnsi="Times New Roman" w:cs="Times New Roman"/>
        <w:sz w:val="20"/>
        <w:szCs w:val="18"/>
      </w:rPr>
    </w:pPr>
    <w:r w:rsidRPr="00934A63">
      <w:rPr>
        <w:rFonts w:ascii="Times New Roman" w:eastAsiaTheme="minorHAnsi" w:hAnsi="Times New Roman" w:cs="Times New Roman"/>
        <w:noProof/>
        <w:sz w:val="20"/>
        <w:szCs w:val="18"/>
      </w:rPr>
      <w:t xml:space="preserve">Tulkojums </w:t>
    </w:r>
    <w:r w:rsidRPr="00934A63">
      <w:rPr>
        <w:rFonts w:ascii="Times New Roman" w:eastAsiaTheme="minorHAnsi" w:hAnsi="Times New Roman" w:cs="Times New Roman"/>
        <w:noProof/>
        <w:sz w:val="20"/>
        <w:szCs w:val="18"/>
      </w:rPr>
      <w:fldChar w:fldCharType="begin"/>
    </w:r>
    <w:r w:rsidRPr="00934A63">
      <w:rPr>
        <w:rFonts w:ascii="Times New Roman" w:eastAsiaTheme="minorHAnsi" w:hAnsi="Times New Roman" w:cs="Times New Roman"/>
        <w:noProof/>
        <w:sz w:val="20"/>
        <w:szCs w:val="18"/>
      </w:rPr>
      <w:instrText>symbol 211 \f "Symbol" \s 9</w:instrText>
    </w:r>
    <w:r w:rsidRPr="00934A63">
      <w:rPr>
        <w:rFonts w:ascii="Times New Roman" w:eastAsiaTheme="minorHAnsi" w:hAnsi="Times New Roman" w:cs="Times New Roman"/>
        <w:noProof/>
        <w:sz w:val="20"/>
        <w:szCs w:val="18"/>
      </w:rPr>
      <w:fldChar w:fldCharType="separate"/>
    </w:r>
    <w:r w:rsidRPr="00934A63">
      <w:rPr>
        <w:rFonts w:ascii="Times New Roman" w:eastAsiaTheme="minorHAnsi" w:hAnsi="Times New Roman" w:cs="Times New Roman"/>
        <w:noProof/>
        <w:sz w:val="20"/>
        <w:szCs w:val="18"/>
      </w:rPr>
      <w:t>Ó</w:t>
    </w:r>
    <w:r w:rsidRPr="00934A63">
      <w:rPr>
        <w:rFonts w:ascii="Times New Roman" w:eastAsiaTheme="minorHAnsi" w:hAnsi="Times New Roman" w:cs="Times New Roman"/>
        <w:noProof/>
        <w:sz w:val="20"/>
        <w:szCs w:val="18"/>
      </w:rPr>
      <w:fldChar w:fldCharType="end"/>
    </w:r>
    <w:r w:rsidRPr="00934A63">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934A63">
      <w:rPr>
        <w:rFonts w:ascii="Times New Roman" w:eastAsiaTheme="minorHAnsi" w:hAnsi="Times New Roman" w:cs="Times New Roman"/>
        <w:sz w:val="20"/>
        <w:szCs w:val="18"/>
      </w:rPr>
      <w:tab/>
    </w:r>
    <w:r w:rsidRPr="00934A63">
      <w:rPr>
        <w:rFonts w:ascii="Times New Roman" w:eastAsiaTheme="minorHAnsi" w:hAnsi="Times New Roman" w:cs="Times New Roman"/>
        <w:sz w:val="20"/>
        <w:szCs w:val="18"/>
      </w:rPr>
      <w:fldChar w:fldCharType="begin"/>
    </w:r>
    <w:r w:rsidRPr="00934A63">
      <w:rPr>
        <w:rFonts w:ascii="Times New Roman" w:eastAsiaTheme="minorHAnsi" w:hAnsi="Times New Roman" w:cs="Times New Roman"/>
        <w:sz w:val="20"/>
        <w:szCs w:val="18"/>
      </w:rPr>
      <w:instrText xml:space="preserve">page </w:instrText>
    </w:r>
    <w:r w:rsidRPr="00934A63">
      <w:rPr>
        <w:rFonts w:ascii="Times New Roman" w:eastAsiaTheme="minorHAnsi" w:hAnsi="Times New Roman" w:cs="Times New Roman"/>
        <w:sz w:val="20"/>
        <w:szCs w:val="18"/>
      </w:rPr>
      <w:fldChar w:fldCharType="separate"/>
    </w:r>
    <w:r w:rsidRPr="00934A63">
      <w:rPr>
        <w:rFonts w:ascii="Times New Roman" w:eastAsiaTheme="minorHAnsi" w:hAnsi="Times New Roman" w:cs="Times New Roman"/>
        <w:sz w:val="20"/>
        <w:szCs w:val="18"/>
      </w:rPr>
      <w:t>2</w:t>
    </w:r>
    <w:r w:rsidRPr="00934A63">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DBB6" w14:textId="77777777" w:rsidR="006A22F2" w:rsidRPr="006A22F2" w:rsidRDefault="006A22F2" w:rsidP="006A22F2">
    <w:pPr>
      <w:tabs>
        <w:tab w:val="left" w:leader="underscore" w:pos="9072"/>
      </w:tabs>
      <w:autoSpaceDE/>
      <w:autoSpaceDN/>
      <w:rPr>
        <w:rFonts w:ascii="Times New Roman" w:eastAsiaTheme="minorHAnsi" w:hAnsi="Times New Roman" w:cs="Times New Roman"/>
        <w:sz w:val="20"/>
        <w:szCs w:val="18"/>
      </w:rPr>
    </w:pPr>
    <w:r w:rsidRPr="006A22F2">
      <w:rPr>
        <w:rFonts w:ascii="Times New Roman" w:eastAsiaTheme="minorHAnsi" w:hAnsi="Times New Roman" w:cs="Times New Roman"/>
        <w:sz w:val="20"/>
        <w:szCs w:val="18"/>
      </w:rPr>
      <w:tab/>
    </w:r>
  </w:p>
  <w:p w14:paraId="2708BB3F" w14:textId="77777777" w:rsidR="006A22F2" w:rsidRPr="006A22F2" w:rsidRDefault="006A22F2" w:rsidP="006A22F2">
    <w:pPr>
      <w:tabs>
        <w:tab w:val="center" w:pos="4513"/>
        <w:tab w:val="right" w:pos="9026"/>
        <w:tab w:val="left" w:pos="9072"/>
      </w:tabs>
      <w:autoSpaceDE/>
      <w:autoSpaceDN/>
      <w:rPr>
        <w:rFonts w:ascii="Times New Roman" w:eastAsiaTheme="minorHAnsi" w:hAnsi="Times New Roman" w:cs="Times New Roman"/>
        <w:sz w:val="20"/>
        <w:szCs w:val="18"/>
      </w:rPr>
    </w:pPr>
  </w:p>
  <w:p w14:paraId="62BCDF14" w14:textId="7BF5C139" w:rsidR="00D339CF" w:rsidRPr="006A22F2" w:rsidRDefault="006A22F2" w:rsidP="006A22F2">
    <w:pPr>
      <w:tabs>
        <w:tab w:val="center" w:pos="4513"/>
        <w:tab w:val="right" w:pos="9026"/>
      </w:tabs>
      <w:autoSpaceDE/>
      <w:autoSpaceDN/>
      <w:rPr>
        <w:rFonts w:ascii="Times New Roman" w:eastAsiaTheme="minorHAnsi" w:hAnsi="Times New Roman" w:cs="Times New Roman"/>
        <w:sz w:val="20"/>
        <w:szCs w:val="18"/>
      </w:rPr>
    </w:pPr>
    <w:r w:rsidRPr="006A22F2">
      <w:rPr>
        <w:rFonts w:ascii="Times New Roman" w:eastAsiaTheme="minorHAnsi" w:hAnsi="Times New Roman" w:cs="Times New Roman"/>
        <w:noProof/>
        <w:sz w:val="20"/>
        <w:szCs w:val="18"/>
      </w:rPr>
      <w:t xml:space="preserve">Tulkojums </w:t>
    </w:r>
    <w:r w:rsidRPr="006A22F2">
      <w:rPr>
        <w:rFonts w:ascii="Times New Roman" w:eastAsiaTheme="minorHAnsi" w:hAnsi="Times New Roman" w:cs="Times New Roman"/>
        <w:noProof/>
        <w:sz w:val="20"/>
        <w:szCs w:val="18"/>
      </w:rPr>
      <w:fldChar w:fldCharType="begin"/>
    </w:r>
    <w:r w:rsidRPr="006A22F2">
      <w:rPr>
        <w:rFonts w:ascii="Times New Roman" w:eastAsiaTheme="minorHAnsi" w:hAnsi="Times New Roman" w:cs="Times New Roman"/>
        <w:noProof/>
        <w:sz w:val="20"/>
        <w:szCs w:val="18"/>
      </w:rPr>
      <w:instrText>symbol 211 \f "Symbol" \s 9</w:instrText>
    </w:r>
    <w:r w:rsidRPr="006A22F2">
      <w:rPr>
        <w:rFonts w:ascii="Times New Roman" w:eastAsiaTheme="minorHAnsi" w:hAnsi="Times New Roman" w:cs="Times New Roman"/>
        <w:noProof/>
        <w:sz w:val="20"/>
        <w:szCs w:val="18"/>
      </w:rPr>
      <w:fldChar w:fldCharType="separate"/>
    </w:r>
    <w:r w:rsidRPr="006A22F2">
      <w:rPr>
        <w:rFonts w:ascii="Times New Roman" w:eastAsiaTheme="minorHAnsi" w:hAnsi="Times New Roman" w:cs="Times New Roman"/>
        <w:noProof/>
        <w:sz w:val="20"/>
        <w:szCs w:val="18"/>
      </w:rPr>
      <w:t>Ó</w:t>
    </w:r>
    <w:r w:rsidRPr="006A22F2">
      <w:rPr>
        <w:rFonts w:ascii="Times New Roman" w:eastAsiaTheme="minorHAnsi" w:hAnsi="Times New Roman" w:cs="Times New Roman"/>
        <w:noProof/>
        <w:sz w:val="20"/>
        <w:szCs w:val="18"/>
      </w:rPr>
      <w:fldChar w:fldCharType="end"/>
    </w:r>
    <w:r w:rsidRPr="006A22F2">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BD3" w14:textId="77777777" w:rsidR="00CC35BA" w:rsidRPr="00D339CF" w:rsidRDefault="00CC35BA">
      <w:pPr>
        <w:rPr>
          <w:noProof/>
        </w:rPr>
      </w:pPr>
      <w:r w:rsidRPr="00D339CF">
        <w:rPr>
          <w:noProof/>
        </w:rPr>
        <w:separator/>
      </w:r>
    </w:p>
  </w:footnote>
  <w:footnote w:type="continuationSeparator" w:id="0">
    <w:p w14:paraId="0BD9F193" w14:textId="77777777" w:rsidR="00CC35BA" w:rsidRPr="00D339CF" w:rsidRDefault="00CC35BA">
      <w:pPr>
        <w:rPr>
          <w:noProof/>
        </w:rPr>
      </w:pPr>
      <w:r w:rsidRPr="00D339CF">
        <w:rPr>
          <w:noProof/>
        </w:rPr>
        <w:continuationSeparator/>
      </w:r>
    </w:p>
  </w:footnote>
  <w:footnote w:id="1">
    <w:p w14:paraId="46F683C5" w14:textId="12E486EC" w:rsidR="00934A63" w:rsidRPr="00EB5347" w:rsidRDefault="00934A63" w:rsidP="00EB5347">
      <w:pPr>
        <w:pStyle w:val="FootnoteText"/>
        <w:jc w:val="both"/>
        <w:rPr>
          <w:rFonts w:ascii="Times New Roman" w:hAnsi="Times New Roman" w:cs="Times New Roman"/>
        </w:rPr>
      </w:pPr>
      <w:r w:rsidRPr="00EB5347">
        <w:rPr>
          <w:rStyle w:val="FootnoteReference"/>
          <w:rFonts w:ascii="Times New Roman" w:hAnsi="Times New Roman" w:cs="Times New Roman"/>
        </w:rPr>
        <w:t>*</w:t>
      </w:r>
      <w:r w:rsidRPr="00EB5347">
        <w:rPr>
          <w:rFonts w:ascii="Times New Roman" w:hAnsi="Times New Roman" w:cs="Times New Roman"/>
        </w:rPr>
        <w:t xml:space="preserve"> </w:t>
      </w:r>
      <w:r w:rsidR="00EB5347" w:rsidRPr="00EB5347">
        <w:rPr>
          <w:rFonts w:ascii="Times New Roman" w:hAnsi="Times New Roman" w:cs="Times New Roman"/>
        </w:rPr>
        <w:t>Tulkotāja piezīme. Viscaur tulkojumā ar terminu "gaisa kuģis" saprot terminu "lidaparāts", kas līdz ar Latviešu aviācijas radiofrazeoloģijas rokasgrāmatas apstiprināšanu apstiprināts kā "aircraft" atbilsme latviešu valodā (skat. Latvijas Zinātņu akadēmijas Terminoloģijas komisijas 2024. gada 9. aprīļa lēmumu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56B3" w14:textId="77777777" w:rsidR="004B18F5" w:rsidRPr="004B18F5" w:rsidRDefault="004B18F5" w:rsidP="004B18F5">
    <w:pPr>
      <w:tabs>
        <w:tab w:val="right" w:leader="underscore" w:pos="9072"/>
      </w:tabs>
      <w:autoSpaceDE/>
      <w:autoSpaceDN/>
      <w:rPr>
        <w:rFonts w:ascii="Times New Roman" w:eastAsiaTheme="minorHAnsi"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4B18F5">
      <w:rPr>
        <w:rFonts w:ascii="Times New Roman" w:eastAsiaTheme="minorHAnsi"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05C6B946" w14:textId="77777777" w:rsidR="00D339CF" w:rsidRDefault="00D33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BDE4" w14:textId="77777777" w:rsidR="00295C5D" w:rsidRPr="00295C5D" w:rsidRDefault="00295C5D" w:rsidP="00295C5D">
    <w:pPr>
      <w:pBdr>
        <w:bottom w:val="single" w:sz="12" w:space="5" w:color="auto"/>
      </w:pBdr>
      <w:autoSpaceDE/>
      <w:autoSpaceDN/>
      <w:rPr>
        <w:rFonts w:ascii="Times New Roman" w:eastAsiaTheme="minorHAnsi"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58328E70" w14:textId="77777777" w:rsidR="00D339CF" w:rsidRDefault="00D33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C588A"/>
    <w:multiLevelType w:val="hybridMultilevel"/>
    <w:tmpl w:val="E07A41EC"/>
    <w:lvl w:ilvl="0" w:tplc="59E045D0">
      <w:numFmt w:val="bullet"/>
      <w:lvlText w:val="—"/>
      <w:lvlJc w:val="left"/>
      <w:pPr>
        <w:ind w:left="708" w:hanging="568"/>
      </w:pPr>
      <w:rPr>
        <w:rFonts w:ascii="Calibri" w:eastAsia="Calibri" w:hAnsi="Calibri" w:cs="Calibri" w:hint="default"/>
        <w:b w:val="0"/>
        <w:bCs w:val="0"/>
        <w:i w:val="0"/>
        <w:iCs w:val="0"/>
        <w:spacing w:val="0"/>
        <w:w w:val="99"/>
        <w:sz w:val="22"/>
        <w:szCs w:val="22"/>
        <w:lang w:val="en-US" w:eastAsia="en-US" w:bidi="ar-SA"/>
      </w:rPr>
    </w:lvl>
    <w:lvl w:ilvl="1" w:tplc="C1A44444">
      <w:numFmt w:val="bullet"/>
      <w:lvlText w:val="•"/>
      <w:lvlJc w:val="left"/>
      <w:pPr>
        <w:ind w:left="1560" w:hanging="568"/>
      </w:pPr>
      <w:rPr>
        <w:rFonts w:hint="default"/>
        <w:lang w:val="en-US" w:eastAsia="en-US" w:bidi="ar-SA"/>
      </w:rPr>
    </w:lvl>
    <w:lvl w:ilvl="2" w:tplc="74A0B59A">
      <w:numFmt w:val="bullet"/>
      <w:lvlText w:val="•"/>
      <w:lvlJc w:val="left"/>
      <w:pPr>
        <w:ind w:left="2421" w:hanging="568"/>
      </w:pPr>
      <w:rPr>
        <w:rFonts w:hint="default"/>
        <w:lang w:val="en-US" w:eastAsia="en-US" w:bidi="ar-SA"/>
      </w:rPr>
    </w:lvl>
    <w:lvl w:ilvl="3" w:tplc="6396EFBC">
      <w:numFmt w:val="bullet"/>
      <w:lvlText w:val="•"/>
      <w:lvlJc w:val="left"/>
      <w:pPr>
        <w:ind w:left="3281" w:hanging="568"/>
      </w:pPr>
      <w:rPr>
        <w:rFonts w:hint="default"/>
        <w:lang w:val="en-US" w:eastAsia="en-US" w:bidi="ar-SA"/>
      </w:rPr>
    </w:lvl>
    <w:lvl w:ilvl="4" w:tplc="AB28A032">
      <w:numFmt w:val="bullet"/>
      <w:lvlText w:val="•"/>
      <w:lvlJc w:val="left"/>
      <w:pPr>
        <w:ind w:left="4142" w:hanging="568"/>
      </w:pPr>
      <w:rPr>
        <w:rFonts w:hint="default"/>
        <w:lang w:val="en-US" w:eastAsia="en-US" w:bidi="ar-SA"/>
      </w:rPr>
    </w:lvl>
    <w:lvl w:ilvl="5" w:tplc="1E2CE97C">
      <w:numFmt w:val="bullet"/>
      <w:lvlText w:val="•"/>
      <w:lvlJc w:val="left"/>
      <w:pPr>
        <w:ind w:left="5003" w:hanging="568"/>
      </w:pPr>
      <w:rPr>
        <w:rFonts w:hint="default"/>
        <w:lang w:val="en-US" w:eastAsia="en-US" w:bidi="ar-SA"/>
      </w:rPr>
    </w:lvl>
    <w:lvl w:ilvl="6" w:tplc="EC7C17F8">
      <w:numFmt w:val="bullet"/>
      <w:lvlText w:val="•"/>
      <w:lvlJc w:val="left"/>
      <w:pPr>
        <w:ind w:left="5863" w:hanging="568"/>
      </w:pPr>
      <w:rPr>
        <w:rFonts w:hint="default"/>
        <w:lang w:val="en-US" w:eastAsia="en-US" w:bidi="ar-SA"/>
      </w:rPr>
    </w:lvl>
    <w:lvl w:ilvl="7" w:tplc="0908B4AE">
      <w:numFmt w:val="bullet"/>
      <w:lvlText w:val="•"/>
      <w:lvlJc w:val="left"/>
      <w:pPr>
        <w:ind w:left="6724" w:hanging="568"/>
      </w:pPr>
      <w:rPr>
        <w:rFonts w:hint="default"/>
        <w:lang w:val="en-US" w:eastAsia="en-US" w:bidi="ar-SA"/>
      </w:rPr>
    </w:lvl>
    <w:lvl w:ilvl="8" w:tplc="F028C34E">
      <w:numFmt w:val="bullet"/>
      <w:lvlText w:val="•"/>
      <w:lvlJc w:val="left"/>
      <w:pPr>
        <w:ind w:left="7585" w:hanging="568"/>
      </w:pPr>
      <w:rPr>
        <w:rFonts w:hint="default"/>
        <w:lang w:val="en-US" w:eastAsia="en-US" w:bidi="ar-SA"/>
      </w:rPr>
    </w:lvl>
  </w:abstractNum>
  <w:num w:numId="1" w16cid:durableId="86116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7515"/>
    <w:rsid w:val="00037515"/>
    <w:rsid w:val="00182327"/>
    <w:rsid w:val="00295C5D"/>
    <w:rsid w:val="003D0F69"/>
    <w:rsid w:val="004B18F5"/>
    <w:rsid w:val="006A22F2"/>
    <w:rsid w:val="006C5B89"/>
    <w:rsid w:val="007F5ED3"/>
    <w:rsid w:val="00934A63"/>
    <w:rsid w:val="00A37826"/>
    <w:rsid w:val="00B74F9D"/>
    <w:rsid w:val="00BC7F58"/>
    <w:rsid w:val="00C2463C"/>
    <w:rsid w:val="00CC35BA"/>
    <w:rsid w:val="00D339CF"/>
    <w:rsid w:val="00DA1069"/>
    <w:rsid w:val="00EB5347"/>
    <w:rsid w:val="00FD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jc w:val="center"/>
    </w:pPr>
    <w:rPr>
      <w:b/>
      <w:bCs/>
      <w:sz w:val="24"/>
      <w:szCs w:val="24"/>
    </w:rPr>
  </w:style>
  <w:style w:type="paragraph" w:styleId="ListParagraph">
    <w:name w:val="List Paragraph"/>
    <w:basedOn w:val="Normal"/>
    <w:uiPriority w:val="1"/>
    <w:qFormat/>
    <w:pPr>
      <w:spacing w:before="160"/>
      <w:ind w:left="707" w:hanging="567"/>
    </w:pPr>
  </w:style>
  <w:style w:type="paragraph" w:customStyle="1" w:styleId="TableParagraph">
    <w:name w:val="Table Paragraph"/>
    <w:basedOn w:val="Normal"/>
    <w:uiPriority w:val="1"/>
    <w:qFormat/>
    <w:pPr>
      <w:spacing w:line="243" w:lineRule="exact"/>
    </w:pPr>
  </w:style>
  <w:style w:type="paragraph" w:styleId="Header">
    <w:name w:val="header"/>
    <w:basedOn w:val="Normal"/>
    <w:link w:val="HeaderChar"/>
    <w:uiPriority w:val="99"/>
    <w:unhideWhenUsed/>
    <w:rsid w:val="00D339CF"/>
    <w:pPr>
      <w:tabs>
        <w:tab w:val="center" w:pos="4513"/>
        <w:tab w:val="right" w:pos="9026"/>
      </w:tabs>
    </w:pPr>
  </w:style>
  <w:style w:type="character" w:customStyle="1" w:styleId="HeaderChar">
    <w:name w:val="Header Char"/>
    <w:basedOn w:val="DefaultParagraphFont"/>
    <w:link w:val="Header"/>
    <w:uiPriority w:val="99"/>
    <w:rsid w:val="00D339CF"/>
    <w:rPr>
      <w:rFonts w:ascii="Calibri" w:eastAsia="Calibri" w:hAnsi="Calibri" w:cs="Calibri"/>
    </w:rPr>
  </w:style>
  <w:style w:type="paragraph" w:styleId="Footer">
    <w:name w:val="footer"/>
    <w:basedOn w:val="Normal"/>
    <w:link w:val="FooterChar"/>
    <w:uiPriority w:val="99"/>
    <w:unhideWhenUsed/>
    <w:rsid w:val="00D339CF"/>
    <w:pPr>
      <w:tabs>
        <w:tab w:val="center" w:pos="4513"/>
        <w:tab w:val="right" w:pos="9026"/>
      </w:tabs>
    </w:pPr>
  </w:style>
  <w:style w:type="character" w:customStyle="1" w:styleId="FooterChar">
    <w:name w:val="Footer Char"/>
    <w:basedOn w:val="DefaultParagraphFont"/>
    <w:link w:val="Footer"/>
    <w:uiPriority w:val="99"/>
    <w:rsid w:val="00D339CF"/>
    <w:rPr>
      <w:rFonts w:ascii="Calibri" w:eastAsia="Calibri" w:hAnsi="Calibri" w:cs="Calibri"/>
    </w:rPr>
  </w:style>
  <w:style w:type="table" w:styleId="TableGrid">
    <w:name w:val="Table Grid"/>
    <w:basedOn w:val="TableNormal"/>
    <w:uiPriority w:val="39"/>
    <w:rsid w:val="00C2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4A63"/>
    <w:rPr>
      <w:sz w:val="20"/>
      <w:szCs w:val="20"/>
    </w:rPr>
  </w:style>
  <w:style w:type="character" w:customStyle="1" w:styleId="FootnoteTextChar">
    <w:name w:val="Footnote Text Char"/>
    <w:basedOn w:val="DefaultParagraphFont"/>
    <w:link w:val="FootnoteText"/>
    <w:uiPriority w:val="99"/>
    <w:semiHidden/>
    <w:rsid w:val="00934A63"/>
    <w:rPr>
      <w:rFonts w:ascii="Calibri" w:eastAsia="Calibri" w:hAnsi="Calibri" w:cs="Calibri"/>
      <w:sz w:val="20"/>
      <w:szCs w:val="20"/>
    </w:rPr>
  </w:style>
  <w:style w:type="character" w:styleId="FootnoteReference">
    <w:name w:val="footnote reference"/>
    <w:basedOn w:val="DefaultParagraphFont"/>
    <w:uiPriority w:val="99"/>
    <w:semiHidden/>
    <w:unhideWhenUsed/>
    <w:rsid w:val="00934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asa.europ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DA4B-6345-4787-AF9A-D73F0BCA4870}">
  <ds:schemaRefs>
    <ds:schemaRef ds:uri="http://schemas.microsoft.com/sharepoint/v3/contenttype/forms"/>
  </ds:schemaRefs>
</ds:datastoreItem>
</file>

<file path=customXml/itemProps2.xml><?xml version="1.0" encoding="utf-8"?>
<ds:datastoreItem xmlns:ds="http://schemas.openxmlformats.org/officeDocument/2006/customXml" ds:itemID="{525B2ABA-E6CF-470F-9E59-985694C2A661}"/>
</file>

<file path=customXml/itemProps3.xml><?xml version="1.0" encoding="utf-8"?>
<ds:datastoreItem xmlns:ds="http://schemas.openxmlformats.org/officeDocument/2006/customXml" ds:itemID="{FBA7B265-4E0D-4013-9086-85C62A10AE2F}">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41494729-0448-4E94-AFB6-7262C257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2025-09-25T08:17:00Z</dcterms:created>
  <dcterms:modified xsi:type="dcterms:W3CDTF">2025-10-10T07:52:00Z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