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88"/>
        <w:gridCol w:w="6569"/>
      </w:tblGrid>
      <w:tr w:rsidR="009C2B43" w14:paraId="768F6CA3" w14:textId="77777777" w:rsidTr="00F8359D">
        <w:trPr>
          <w:trHeight w:val="1234"/>
        </w:trPr>
        <w:tc>
          <w:tcPr>
            <w:tcW w:w="1413" w:type="pct"/>
          </w:tcPr>
          <w:p w14:paraId="006E6BB0" w14:textId="33695880" w:rsidR="009C2B43" w:rsidRDefault="009C2B43" w:rsidP="008E010D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noProof/>
                <w:sz w:val="24"/>
              </w:rPr>
              <w:drawing>
                <wp:inline distT="0" distB="0" distL="0" distR="0" wp14:anchorId="6B74FCD1" wp14:editId="0213C15C">
                  <wp:extent cx="1476581" cy="704948"/>
                  <wp:effectExtent l="0" t="0" r="9525" b="0"/>
                  <wp:docPr id="226231939" name="Picture 1" descr="A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31939" name="Picture 1" descr="A blue and yellow logo&#10;&#10;Description automatically generated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581" cy="704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7" w:type="pct"/>
          </w:tcPr>
          <w:p w14:paraId="52036D5D" w14:textId="77777777" w:rsidR="009C2B43" w:rsidRPr="009C2B43" w:rsidRDefault="009C2B43" w:rsidP="009C2B43">
            <w:pPr>
              <w:pStyle w:val="BodyText"/>
              <w:jc w:val="both"/>
              <w:rPr>
                <w:rFonts w:ascii="Times New Roman" w:hAnsi="Times New Roman"/>
                <w:noProof/>
                <w:sz w:val="24"/>
                <w:lang w:val="en-GB"/>
              </w:rPr>
            </w:pPr>
          </w:p>
          <w:p w14:paraId="2725F75D" w14:textId="41AB7E4A" w:rsidR="009C2B43" w:rsidRDefault="009C2B43" w:rsidP="00F8359D">
            <w:pPr>
              <w:pStyle w:val="BodyText"/>
              <w:ind w:right="2009"/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Pieņemami atbilstības nodrošināšanas līdzekļi (</w:t>
            </w:r>
            <w:r>
              <w:rPr>
                <w:rFonts w:ascii="Times New Roman" w:hAnsi="Times New Roman"/>
                <w:i/>
                <w:iCs/>
                <w:sz w:val="24"/>
              </w:rPr>
              <w:t>AMC</w:t>
            </w:r>
            <w:r>
              <w:rPr>
                <w:rFonts w:ascii="Times New Roman" w:hAnsi="Times New Roman"/>
                <w:i/>
                <w:sz w:val="24"/>
              </w:rPr>
              <w:t>) un vadlīnijas (</w:t>
            </w:r>
            <w:r>
              <w:rPr>
                <w:rFonts w:ascii="Times New Roman" w:hAnsi="Times New Roman"/>
                <w:i/>
                <w:iCs/>
                <w:sz w:val="24"/>
              </w:rPr>
              <w:t>GM</w:t>
            </w:r>
            <w:r>
              <w:rPr>
                <w:rFonts w:ascii="Times New Roman" w:hAnsi="Times New Roman"/>
                <w:i/>
                <w:sz w:val="24"/>
              </w:rPr>
              <w:t>) attiecībā uz lidlauku pārvaldību, organizāciju un ekspluatācijas prasībām. 1. izdevums, 10. grozījums</w:t>
            </w:r>
          </w:p>
        </w:tc>
      </w:tr>
    </w:tbl>
    <w:p w14:paraId="0C16E3A8" w14:textId="5D1E6889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528599A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8026447" w14:textId="77777777" w:rsidR="001D5FEC" w:rsidRDefault="001D5FEC" w:rsidP="00F8359D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i/>
          <w:iCs/>
          <w:sz w:val="24"/>
        </w:rPr>
        <w:t>ED</w:t>
      </w:r>
      <w:r>
        <w:rPr>
          <w:rFonts w:ascii="Times New Roman" w:hAnsi="Times New Roman"/>
          <w:b/>
          <w:sz w:val="24"/>
        </w:rPr>
        <w:t xml:space="preserve"> Lēmuma 2024/004/R II pielikums</w:t>
      </w:r>
    </w:p>
    <w:p w14:paraId="38DC1FCE" w14:textId="77777777" w:rsidR="00F8359D" w:rsidRPr="008E010D" w:rsidRDefault="00F8359D" w:rsidP="00F8359D">
      <w:pPr>
        <w:jc w:val="center"/>
        <w:rPr>
          <w:rFonts w:ascii="Times New Roman" w:hAnsi="Times New Roman"/>
          <w:b/>
          <w:noProof/>
          <w:sz w:val="24"/>
        </w:rPr>
      </w:pPr>
    </w:p>
    <w:p w14:paraId="6ECDD0E1" w14:textId="77777777" w:rsidR="001D5FEC" w:rsidRPr="008E010D" w:rsidRDefault="001D5FEC" w:rsidP="00F8359D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Pieņemami atbilstības nodrošināšanas līdzekļi (</w:t>
      </w:r>
      <w:r>
        <w:rPr>
          <w:rFonts w:ascii="Times New Roman" w:hAnsi="Times New Roman"/>
          <w:b/>
          <w:i/>
          <w:iCs/>
          <w:sz w:val="24"/>
        </w:rPr>
        <w:t>AMC</w:t>
      </w:r>
      <w:r>
        <w:rPr>
          <w:rFonts w:ascii="Times New Roman" w:hAnsi="Times New Roman"/>
          <w:b/>
          <w:sz w:val="24"/>
        </w:rPr>
        <w:t>) un vadlīnijas (</w:t>
      </w:r>
      <w:r>
        <w:rPr>
          <w:rFonts w:ascii="Times New Roman" w:hAnsi="Times New Roman"/>
          <w:b/>
          <w:i/>
          <w:iCs/>
          <w:sz w:val="24"/>
        </w:rPr>
        <w:t>GM</w:t>
      </w:r>
      <w:r>
        <w:rPr>
          <w:rFonts w:ascii="Times New Roman" w:hAnsi="Times New Roman"/>
          <w:b/>
          <w:sz w:val="24"/>
        </w:rPr>
        <w:t>) attiecībā uz lidlauku pārvaldību, organizāciju un ekspluatācijas prasībām</w:t>
      </w:r>
    </w:p>
    <w:p w14:paraId="68D346D1" w14:textId="77777777" w:rsidR="001D5FEC" w:rsidRPr="008E010D" w:rsidRDefault="001D5FEC" w:rsidP="00F8359D">
      <w:pPr>
        <w:jc w:val="center"/>
        <w:rPr>
          <w:rFonts w:ascii="Times New Roman" w:hAnsi="Times New Roman"/>
          <w:b/>
          <w:noProof/>
          <w:sz w:val="24"/>
        </w:rPr>
      </w:pPr>
    </w:p>
    <w:p w14:paraId="0C509C2A" w14:textId="77777777" w:rsidR="001D5FEC" w:rsidRPr="008E010D" w:rsidRDefault="001D5FEC" w:rsidP="00F8359D">
      <w:pPr>
        <w:jc w:val="center"/>
        <w:rPr>
          <w:rFonts w:ascii="Times New Roman" w:hAnsi="Times New Roman"/>
          <w:b/>
          <w:noProof/>
          <w:sz w:val="24"/>
        </w:rPr>
      </w:pPr>
      <w:r>
        <w:rPr>
          <w:rFonts w:ascii="Times New Roman" w:hAnsi="Times New Roman"/>
          <w:b/>
          <w:sz w:val="24"/>
        </w:rPr>
        <w:t>1. izdevums, 10. grozījums</w:t>
      </w:r>
    </w:p>
    <w:p w14:paraId="0B83C1BD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b/>
          <w:noProof/>
          <w:sz w:val="24"/>
        </w:rPr>
      </w:pPr>
    </w:p>
    <w:p w14:paraId="58AC3844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b/>
          <w:noProof/>
          <w:sz w:val="24"/>
        </w:rPr>
      </w:pPr>
    </w:p>
    <w:p w14:paraId="61F762EA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Grozījuma teksts ir izkārtots tā, lai parādītu gan svītroto tekstu, gan jauno vai grozīto tekstu:</w:t>
      </w:r>
    </w:p>
    <w:p w14:paraId="6A9A9F85" w14:textId="77777777" w:rsidR="001D5FEC" w:rsidRPr="008E010D" w:rsidRDefault="001D5FEC" w:rsidP="00F8359D">
      <w:pPr>
        <w:pStyle w:val="ListParagraph"/>
        <w:numPr>
          <w:ilvl w:val="0"/>
          <w:numId w:val="1"/>
        </w:numPr>
        <w:tabs>
          <w:tab w:val="left" w:pos="706"/>
        </w:tabs>
        <w:spacing w:before="0"/>
        <w:ind w:left="567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svītrotais teksts ir </w:t>
      </w:r>
      <w:r>
        <w:rPr>
          <w:rFonts w:ascii="Times New Roman" w:hAnsi="Times New Roman"/>
          <w:strike/>
          <w:color w:val="FF0000"/>
          <w:sz w:val="24"/>
        </w:rPr>
        <w:t>pārsvītrots</w:t>
      </w:r>
      <w:r>
        <w:rPr>
          <w:rFonts w:ascii="Times New Roman" w:hAnsi="Times New Roman"/>
          <w:sz w:val="24"/>
        </w:rPr>
        <w:t>;</w:t>
      </w:r>
    </w:p>
    <w:p w14:paraId="48E69C77" w14:textId="77777777" w:rsidR="001D5FEC" w:rsidRPr="008E010D" w:rsidRDefault="001D5FEC" w:rsidP="00F8359D">
      <w:pPr>
        <w:pStyle w:val="ListParagraph"/>
        <w:numPr>
          <w:ilvl w:val="0"/>
          <w:numId w:val="1"/>
        </w:numPr>
        <w:tabs>
          <w:tab w:val="left" w:pos="706"/>
        </w:tabs>
        <w:spacing w:before="0"/>
        <w:ind w:left="567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 xml:space="preserve">jaunais vai grozītais teksts ir iekrāsots </w:t>
      </w:r>
      <w:r>
        <w:rPr>
          <w:rFonts w:ascii="Times New Roman" w:hAnsi="Times New Roman"/>
          <w:sz w:val="24"/>
          <w:highlight w:val="cyan"/>
        </w:rPr>
        <w:t>zilā</w:t>
      </w:r>
      <w:r>
        <w:rPr>
          <w:rFonts w:ascii="Times New Roman" w:hAnsi="Times New Roman"/>
          <w:sz w:val="24"/>
        </w:rPr>
        <w:t xml:space="preserve"> krāsā;</w:t>
      </w:r>
    </w:p>
    <w:p w14:paraId="520D5154" w14:textId="77777777" w:rsidR="001D5FEC" w:rsidRPr="008E010D" w:rsidRDefault="001D5FEC" w:rsidP="00F8359D">
      <w:pPr>
        <w:pStyle w:val="ListParagraph"/>
        <w:numPr>
          <w:ilvl w:val="0"/>
          <w:numId w:val="1"/>
        </w:numPr>
        <w:tabs>
          <w:tab w:val="left" w:pos="706"/>
        </w:tabs>
        <w:spacing w:before="0"/>
        <w:ind w:left="567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t>divpunkte “(..)” norāda, ka pārējais teksts nav grozīts.</w:t>
      </w:r>
    </w:p>
    <w:p w14:paraId="63F5E405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6B399238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1AAB5898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3A728893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6EE4292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D7CCCB5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07C6044A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29F37C4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12B2C7A" w14:textId="77777777" w:rsidR="001D5FEC" w:rsidRPr="008E010D" w:rsidRDefault="001D5FEC" w:rsidP="008E010D">
      <w:pPr>
        <w:jc w:val="both"/>
        <w:rPr>
          <w:rFonts w:ascii="Times New Roman" w:hAnsi="Times New Roman"/>
          <w:b/>
          <w:i/>
          <w:noProof/>
          <w:sz w:val="24"/>
        </w:rPr>
      </w:pPr>
      <w:r>
        <w:rPr>
          <w:rFonts w:ascii="Times New Roman" w:hAnsi="Times New Roman"/>
          <w:b/>
          <w:i/>
          <w:sz w:val="24"/>
        </w:rPr>
        <w:t>Piezīme lasītājam</w:t>
      </w:r>
    </w:p>
    <w:p w14:paraId="305608BB" w14:textId="50956FDA" w:rsidR="00F8359D" w:rsidRDefault="001D5FEC" w:rsidP="008E010D">
      <w:pPr>
        <w:jc w:val="both"/>
        <w:rPr>
          <w:rFonts w:ascii="Times New Roman" w:hAnsi="Times New Roman"/>
          <w:i/>
          <w:noProof/>
          <w:sz w:val="24"/>
        </w:rPr>
      </w:pPr>
      <w:r>
        <w:rPr>
          <w:rFonts w:ascii="Times New Roman" w:hAnsi="Times New Roman"/>
          <w:i/>
          <w:iCs/>
          <w:sz w:val="24"/>
        </w:rPr>
        <w:t xml:space="preserve">Grozītajā un jo īpaši spēkā esošajā (tas ir, nemainītajā) tekstā termins </w:t>
      </w:r>
      <w:r>
        <w:rPr>
          <w:rFonts w:ascii="Times New Roman" w:hAnsi="Times New Roman"/>
          <w:i/>
          <w:sz w:val="24"/>
        </w:rPr>
        <w:t xml:space="preserve">“aģentūra” </w:t>
      </w:r>
      <w:r>
        <w:rPr>
          <w:rFonts w:ascii="Times New Roman" w:hAnsi="Times New Roman"/>
          <w:i/>
          <w:iCs/>
          <w:sz w:val="24"/>
        </w:rPr>
        <w:t xml:space="preserve">tiek lietots pamīšus terminam </w:t>
      </w:r>
      <w:r>
        <w:rPr>
          <w:rFonts w:ascii="Times New Roman" w:hAnsi="Times New Roman"/>
          <w:i/>
          <w:sz w:val="24"/>
        </w:rPr>
        <w:t>“</w:t>
      </w:r>
      <w:r>
        <w:rPr>
          <w:rFonts w:ascii="Times New Roman" w:hAnsi="Times New Roman"/>
          <w:i/>
          <w:iCs/>
          <w:sz w:val="24"/>
        </w:rPr>
        <w:t>EASA</w:t>
      </w:r>
      <w:r>
        <w:rPr>
          <w:rFonts w:ascii="Times New Roman" w:hAnsi="Times New Roman"/>
          <w:i/>
          <w:sz w:val="24"/>
        </w:rPr>
        <w:t xml:space="preserve">”. Šo abu terminu pamīšais lietojums ir izteiktāks konsolidētajās redakcijās. </w:t>
      </w:r>
      <w:r>
        <w:rPr>
          <w:rFonts w:ascii="Times New Roman" w:hAnsi="Times New Roman"/>
          <w:i/>
          <w:iCs/>
          <w:sz w:val="24"/>
        </w:rPr>
        <w:t>Tāpēc ņemiet vērā, ka abi termini attiecas uz</w:t>
      </w:r>
      <w:r>
        <w:rPr>
          <w:rFonts w:ascii="Times New Roman" w:hAnsi="Times New Roman"/>
          <w:i/>
          <w:sz w:val="24"/>
        </w:rPr>
        <w:t xml:space="preserve"> “Eiropas Aviācijas drošības aģentūru (</w:t>
      </w:r>
      <w:r>
        <w:rPr>
          <w:rFonts w:ascii="Times New Roman" w:hAnsi="Times New Roman"/>
          <w:i/>
          <w:iCs/>
          <w:sz w:val="24"/>
        </w:rPr>
        <w:t>EASA</w:t>
      </w:r>
      <w:r>
        <w:rPr>
          <w:rFonts w:ascii="Times New Roman" w:hAnsi="Times New Roman"/>
          <w:i/>
          <w:sz w:val="24"/>
        </w:rPr>
        <w:t>)”.</w:t>
      </w:r>
    </w:p>
    <w:p w14:paraId="0FF0E094" w14:textId="77777777" w:rsidR="00F8359D" w:rsidRDefault="00F8359D">
      <w:pPr>
        <w:rPr>
          <w:rFonts w:ascii="Times New Roman" w:hAnsi="Times New Roman"/>
          <w:i/>
          <w:noProof/>
          <w:sz w:val="24"/>
        </w:rPr>
      </w:pPr>
      <w:r>
        <w:br w:type="page"/>
      </w:r>
    </w:p>
    <w:p w14:paraId="78A33355" w14:textId="77777777" w:rsidR="001D5FEC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sz w:val="24"/>
        </w:rPr>
        <w:lastRenderedPageBreak/>
        <w:t>Aģentūras izpilddirektora 2014. gada 27. februāra Lēmuma 2014/012/R pielikumu groza, kā norādīts turpmāk.</w:t>
      </w:r>
    </w:p>
    <w:p w14:paraId="207EF87A" w14:textId="77777777" w:rsidR="00F8359D" w:rsidRPr="008E010D" w:rsidRDefault="00F8359D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27F5407D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4B535635" w14:textId="420F32E4" w:rsidR="0086728A" w:rsidRPr="00F8359D" w:rsidRDefault="0086728A" w:rsidP="00F8359D">
      <w:pPr>
        <w:shd w:val="clear" w:color="auto" w:fill="FFC000"/>
        <w:jc w:val="both"/>
        <w:rPr>
          <w:rFonts w:ascii="Times New Roman" w:hAnsi="Times New Roman"/>
          <w:b/>
          <w:bCs/>
          <w:noProof/>
          <w:color w:val="FFFFFF" w:themeColor="background1"/>
          <w:sz w:val="32"/>
          <w:szCs w:val="28"/>
        </w:rPr>
      </w:pPr>
      <w:bookmarkStart w:id="0" w:name="AMC1_ADR.AR.A.025(b)_Information_to_the_"/>
      <w:bookmarkEnd w:id="0"/>
      <w:r>
        <w:rPr>
          <w:rFonts w:ascii="Times New Roman" w:hAnsi="Times New Roman"/>
          <w:b/>
          <w:color w:val="FFFFFF" w:themeColor="background1"/>
          <w:sz w:val="32"/>
          <w:highlight w:val="cyan"/>
        </w:rPr>
        <w:t>AMC1 par ADR.AR.A.025. punkta “Informācija Aģentūrai” b) apakšpunktu</w:t>
      </w:r>
    </w:p>
    <w:p w14:paraId="06B7B196" w14:textId="571F0FAF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sz w:val="24"/>
        </w:rPr>
      </w:pPr>
    </w:p>
    <w:p w14:paraId="5024877B" w14:textId="77777777" w:rsidR="001D5FEC" w:rsidRDefault="001D5FEC" w:rsidP="008E010D">
      <w:pPr>
        <w:jc w:val="both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  <w:highlight w:val="cyan"/>
        </w:rPr>
        <w:t>DROŠĪBAS ZIŅĀ NOZĪMĪGAS INFORMĀCIJAS APMAIŅA AR AĢENTŪRU</w:t>
      </w:r>
    </w:p>
    <w:p w14:paraId="3A0456F9" w14:textId="77777777" w:rsidR="00F8359D" w:rsidRPr="008E010D" w:rsidRDefault="00F8359D" w:rsidP="008E010D">
      <w:pPr>
        <w:jc w:val="both"/>
        <w:rPr>
          <w:rFonts w:ascii="Times New Roman" w:hAnsi="Times New Roman"/>
          <w:b/>
          <w:noProof/>
          <w:color w:val="000000"/>
          <w:sz w:val="24"/>
        </w:rPr>
      </w:pPr>
    </w:p>
    <w:p w14:paraId="246E582C" w14:textId="77777777" w:rsidR="001D5FEC" w:rsidRPr="008E010D" w:rsidRDefault="001D5FEC" w:rsidP="008E010D">
      <w:pPr>
        <w:pStyle w:val="BodyText"/>
        <w:jc w:val="both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highlight w:val="cyan"/>
        </w:rPr>
        <w:t>Katrai kompetentajai iestādei ir jāieceļ koordinators, kas darbojas kā kontaktpunkts drošības ziņā nozīmīgas informācijas apmaiņai starp kompetento iestādi un Aģentūru.</w:t>
      </w:r>
    </w:p>
    <w:sectPr w:rsidR="001D5FEC" w:rsidRPr="008E010D" w:rsidSect="008E010D">
      <w:headerReference w:type="default" r:id="rId11"/>
      <w:footerReference w:type="default" r:id="rId12"/>
      <w:headerReference w:type="first" r:id="rId13"/>
      <w:footerReference w:type="first" r:id="rId14"/>
      <w:pgSz w:w="11910" w:h="16840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3277" w14:textId="77777777" w:rsidR="00BB7A0E" w:rsidRPr="001D5FEC" w:rsidRDefault="00BB7A0E">
      <w:pPr>
        <w:rPr>
          <w:noProof/>
        </w:rPr>
      </w:pPr>
      <w:r w:rsidRPr="001D5FEC">
        <w:rPr>
          <w:noProof/>
        </w:rPr>
        <w:separator/>
      </w:r>
    </w:p>
  </w:endnote>
  <w:endnote w:type="continuationSeparator" w:id="0">
    <w:p w14:paraId="5BB1F4A0" w14:textId="77777777" w:rsidR="00BB7A0E" w:rsidRPr="001D5FEC" w:rsidRDefault="00BB7A0E">
      <w:pPr>
        <w:rPr>
          <w:noProof/>
        </w:rPr>
      </w:pPr>
      <w:r w:rsidRPr="001D5FEC"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578" w14:textId="77777777" w:rsidR="0057255F" w:rsidRPr="00E11004" w:rsidRDefault="0057255F" w:rsidP="0057255F">
    <w:pPr>
      <w:tabs>
        <w:tab w:val="center" w:pos="4513"/>
        <w:tab w:val="right" w:pos="9026"/>
        <w:tab w:val="left" w:pos="9072"/>
      </w:tabs>
      <w:rPr>
        <w:rFonts w:ascii="Times New Roman" w:hAnsi="Times New Roman" w:cs="Times New Roman"/>
        <w:sz w:val="20"/>
        <w:szCs w:val="20"/>
        <w:u w:val="single"/>
        <w:lang w:val="en-US"/>
      </w:rPr>
    </w:pPr>
  </w:p>
  <w:p w14:paraId="3207F589" w14:textId="77777777" w:rsidR="0057255F" w:rsidRPr="00E11004" w:rsidRDefault="0057255F" w:rsidP="0057255F">
    <w:pPr>
      <w:tabs>
        <w:tab w:val="right" w:pos="9026"/>
        <w:tab w:val="center" w:pos="9072"/>
      </w:tabs>
      <w:rPr>
        <w:rFonts w:ascii="Times New Roman" w:hAnsi="Times New Roman" w:cs="Times New Roman"/>
        <w:noProof/>
        <w:sz w:val="20"/>
        <w:szCs w:val="20"/>
        <w:u w:val="single"/>
        <w:lang w:val="en-US"/>
      </w:rPr>
    </w:pPr>
    <w:r w:rsidRPr="00E11004">
      <w:rPr>
        <w:rFonts w:ascii="Times New Roman" w:hAnsi="Times New Roman" w:cs="Times New Roman"/>
        <w:noProof/>
        <w:sz w:val="20"/>
        <w:szCs w:val="20"/>
        <w:u w:val="single"/>
        <w:lang w:val="en-US"/>
      </w:rPr>
      <w:tab/>
    </w:r>
  </w:p>
  <w:p w14:paraId="7663538C" w14:textId="77777777" w:rsidR="0057255F" w:rsidRPr="00E11004" w:rsidRDefault="0057255F" w:rsidP="0057255F">
    <w:pPr>
      <w:tabs>
        <w:tab w:val="center" w:pos="4513"/>
        <w:tab w:val="right" w:pos="9026"/>
        <w:tab w:val="right" w:pos="9072"/>
      </w:tabs>
      <w:rPr>
        <w:rFonts w:ascii="Times New Roman" w:hAnsi="Times New Roman" w:cs="Times New Roman"/>
        <w:noProof/>
        <w:sz w:val="20"/>
        <w:szCs w:val="20"/>
        <w:u w:val="single"/>
        <w:lang w:val="en-US"/>
      </w:rPr>
    </w:pPr>
  </w:p>
  <w:p w14:paraId="5B890656" w14:textId="77777777" w:rsidR="0057255F" w:rsidRPr="00E11004" w:rsidRDefault="0057255F" w:rsidP="0057255F">
    <w:pPr>
      <w:tabs>
        <w:tab w:val="center" w:pos="8931"/>
        <w:tab w:val="right" w:pos="9026"/>
        <w:tab w:val="right" w:pos="9072"/>
      </w:tabs>
      <w:rPr>
        <w:rFonts w:ascii="Times New Roman" w:hAnsi="Times New Roman" w:cs="Times New Roman"/>
        <w:sz w:val="20"/>
        <w:szCs w:val="20"/>
        <w:lang w:val="en-US"/>
      </w:rPr>
    </w:pPr>
    <w:r w:rsidRPr="00E11004">
      <w:rPr>
        <w:rFonts w:ascii="Times New Roman" w:hAnsi="Times New Roman" w:cs="Times New Roman"/>
        <w:noProof/>
        <w:sz w:val="20"/>
        <w:szCs w:val="20"/>
        <w:lang w:val="en-US"/>
      </w:rPr>
      <w:t xml:space="preserve">Tulkojums 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instrText>symbol 211 \f "Symbol" \s 9</w:instrTex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t>Ó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t xml:space="preserve"> Valsts valodas centrs, 2024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tab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begin"/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instrText xml:space="preserve">page </w:instrTex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en-US"/>
      </w:rPr>
      <w:t>2</w:t>
    </w:r>
    <w:r w:rsidRPr="00E11004">
      <w:rPr>
        <w:rFonts w:ascii="Times New Roman" w:hAnsi="Times New Roman" w:cs="Times New Roman"/>
        <w:noProof/>
        <w:sz w:val="20"/>
        <w:szCs w:val="20"/>
        <w:lang w:val="en-US"/>
      </w:rPr>
      <w:fldChar w:fldCharType="end"/>
    </w:r>
  </w:p>
  <w:p w14:paraId="6A91BDFD" w14:textId="76955888" w:rsidR="008A399E" w:rsidRDefault="008A399E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7303" w14:textId="77777777" w:rsidR="00432123" w:rsidRPr="00D24644" w:rsidRDefault="00432123" w:rsidP="00432123">
    <w:pPr>
      <w:tabs>
        <w:tab w:val="center" w:pos="4513"/>
        <w:tab w:val="right" w:pos="9026"/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</w:p>
  <w:p w14:paraId="2A10016C" w14:textId="77777777" w:rsidR="00432123" w:rsidRPr="00D24644" w:rsidRDefault="00432123" w:rsidP="00432123">
    <w:pPr>
      <w:tabs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  <w:r w:rsidRPr="00D24644">
      <w:rPr>
        <w:rFonts w:ascii="Times New Roman" w:hAnsi="Times New Roman" w:cs="Times New Roman"/>
        <w:noProof/>
        <w:sz w:val="20"/>
        <w:szCs w:val="18"/>
        <w:lang w:val="en-US"/>
      </w:rPr>
      <w:tab/>
    </w:r>
  </w:p>
  <w:p w14:paraId="43136314" w14:textId="77777777" w:rsidR="00432123" w:rsidRPr="00D24644" w:rsidRDefault="00432123" w:rsidP="00432123">
    <w:pPr>
      <w:tabs>
        <w:tab w:val="center" w:pos="4513"/>
        <w:tab w:val="right" w:pos="9026"/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</w:p>
  <w:p w14:paraId="3E7BB249" w14:textId="51CBF94E" w:rsidR="00432123" w:rsidRPr="00432123" w:rsidRDefault="00432123" w:rsidP="00432123">
    <w:pPr>
      <w:tabs>
        <w:tab w:val="center" w:pos="4513"/>
        <w:tab w:val="right" w:pos="9026"/>
        <w:tab w:val="left" w:leader="underscore" w:pos="9072"/>
      </w:tabs>
      <w:rPr>
        <w:rFonts w:ascii="Times New Roman" w:hAnsi="Times New Roman" w:cs="Times New Roman"/>
        <w:noProof/>
        <w:sz w:val="20"/>
        <w:szCs w:val="18"/>
        <w:lang w:val="en-US"/>
      </w:rPr>
    </w:pPr>
    <w:r w:rsidRPr="00D24644">
      <w:rPr>
        <w:rFonts w:ascii="Times New Roman" w:hAnsi="Times New Roman" w:cs="Times New Roman"/>
        <w:noProof/>
        <w:sz w:val="20"/>
        <w:szCs w:val="18"/>
        <w:lang w:val="en-US"/>
      </w:rPr>
      <w:t xml:space="preserve">Tulkojums </w:t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fldChar w:fldCharType="begin"/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instrText>symbol 211 \f "Symbol" \s 9</w:instrText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fldChar w:fldCharType="separate"/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t>Ó</w:t>
    </w:r>
    <w:r w:rsidRPr="00D24644">
      <w:rPr>
        <w:rFonts w:ascii="Times New Roman" w:hAnsi="Times New Roman" w:cs="Times New Roman"/>
        <w:noProof/>
        <w:sz w:val="20"/>
        <w:szCs w:val="18"/>
      </w:rPr>
      <w:fldChar w:fldCharType="end"/>
    </w:r>
    <w:r w:rsidRPr="00D24644">
      <w:rPr>
        <w:rFonts w:ascii="Times New Roman" w:hAnsi="Times New Roman" w:cs="Times New Roman"/>
        <w:noProof/>
        <w:sz w:val="20"/>
        <w:szCs w:val="18"/>
        <w:lang w:val="en-US"/>
      </w:rPr>
      <w:t xml:space="preserve"> Valsts valodas centrs,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0EFBC" w14:textId="77777777" w:rsidR="00BB7A0E" w:rsidRPr="001D5FEC" w:rsidRDefault="00BB7A0E">
      <w:pPr>
        <w:rPr>
          <w:noProof/>
        </w:rPr>
      </w:pPr>
      <w:r w:rsidRPr="001D5FEC">
        <w:rPr>
          <w:noProof/>
        </w:rPr>
        <w:separator/>
      </w:r>
    </w:p>
  </w:footnote>
  <w:footnote w:type="continuationSeparator" w:id="0">
    <w:p w14:paraId="11D6F90C" w14:textId="77777777" w:rsidR="00BB7A0E" w:rsidRPr="001D5FEC" w:rsidRDefault="00BB7A0E">
      <w:pPr>
        <w:rPr>
          <w:noProof/>
        </w:rPr>
      </w:pPr>
      <w:r w:rsidRPr="001D5FEC"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796D" w14:textId="77777777" w:rsidR="00F979FA" w:rsidRPr="005E00FA" w:rsidRDefault="00F979FA" w:rsidP="00F979FA">
    <w:pPr>
      <w:tabs>
        <w:tab w:val="center" w:pos="4513"/>
        <w:tab w:val="right" w:pos="9026"/>
      </w:tabs>
      <w:rPr>
        <w:rFonts w:ascii="Times New Roman" w:hAnsi="Times New Roman" w:cs="Times New Roman"/>
        <w:sz w:val="20"/>
        <w:szCs w:val="20"/>
      </w:rPr>
    </w:pPr>
    <w:bookmarkStart w:id="1" w:name="_Hlk496261784"/>
    <w:bookmarkStart w:id="2" w:name="_Hlk496261785"/>
    <w:bookmarkStart w:id="3" w:name="_Hlk496261786"/>
    <w:bookmarkStart w:id="4" w:name="_Hlk502757728"/>
    <w:bookmarkStart w:id="5" w:name="_Hlk502757729"/>
    <w:bookmarkStart w:id="6" w:name="_Hlk502757738"/>
    <w:bookmarkStart w:id="7" w:name="_Hlk502757739"/>
    <w:bookmarkStart w:id="8" w:name="_Hlk30491084"/>
    <w:bookmarkStart w:id="9" w:name="_Hlk30491085"/>
    <w:bookmarkStart w:id="10" w:name="_Hlk63344778"/>
    <w:bookmarkStart w:id="11" w:name="_Hlk63344779"/>
    <w:bookmarkStart w:id="12" w:name="_Hlk63344780"/>
    <w:bookmarkStart w:id="13" w:name="_Hlk63344781"/>
  </w:p>
  <w:p w14:paraId="28220AF6" w14:textId="77777777" w:rsidR="00F979FA" w:rsidRPr="005E00FA" w:rsidRDefault="00F979FA" w:rsidP="00F979FA">
    <w:pPr>
      <w:tabs>
        <w:tab w:val="right" w:leader="underscore" w:pos="9072"/>
      </w:tabs>
      <w:rPr>
        <w:rFonts w:ascii="Times New Roman" w:hAnsi="Times New Roman" w:cs="Times New Roman"/>
        <w:sz w:val="20"/>
        <w:szCs w:val="20"/>
      </w:rPr>
    </w:pPr>
    <w:r w:rsidRPr="005E00FA">
      <w:rPr>
        <w:rFonts w:ascii="Times New Roman" w:hAnsi="Times New Roman" w:cs="Times New Roman"/>
        <w:sz w:val="20"/>
        <w:szCs w:val="20"/>
      </w:rPr>
      <w:tab/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3D0B5A55" w14:textId="77777777" w:rsidR="00F979FA" w:rsidRPr="005E00FA" w:rsidRDefault="00F979FA" w:rsidP="00F979FA">
    <w:pPr>
      <w:pStyle w:val="Header"/>
      <w:rPr>
        <w:rFonts w:ascii="Times New Roman" w:hAnsi="Times New Roman" w:cs="Times New Roman"/>
      </w:rPr>
    </w:pPr>
  </w:p>
  <w:p w14:paraId="6A91BDFC" w14:textId="70E73BC7" w:rsidR="008A399E" w:rsidRDefault="008A399E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40F9F" w14:textId="77777777" w:rsidR="00C600DD" w:rsidRPr="005E00FA" w:rsidRDefault="00C600DD" w:rsidP="00C600DD">
    <w:pPr>
      <w:pBdr>
        <w:bottom w:val="single" w:sz="12" w:space="5" w:color="auto"/>
      </w:pBdr>
      <w:rPr>
        <w:rFonts w:ascii="Times New Roman" w:hAnsi="Times New Roman" w:cs="Times New Roman"/>
        <w:spacing w:val="-2"/>
        <w:sz w:val="20"/>
        <w:szCs w:val="20"/>
      </w:rPr>
    </w:pPr>
    <w:bookmarkStart w:id="14" w:name="_Hlk496261745"/>
    <w:bookmarkStart w:id="15" w:name="_Hlk496261746"/>
    <w:bookmarkStart w:id="16" w:name="_Hlk496261747"/>
    <w:bookmarkStart w:id="17" w:name="_Hlk30491063"/>
    <w:bookmarkStart w:id="18" w:name="_Hlk30491064"/>
  </w:p>
  <w:bookmarkEnd w:id="14"/>
  <w:bookmarkEnd w:id="15"/>
  <w:bookmarkEnd w:id="16"/>
  <w:bookmarkEnd w:id="17"/>
  <w:bookmarkEnd w:id="18"/>
  <w:p w14:paraId="53E94E1C" w14:textId="77777777" w:rsidR="001D5FEC" w:rsidRDefault="001D5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D2053"/>
    <w:multiLevelType w:val="hybridMultilevel"/>
    <w:tmpl w:val="A1500A96"/>
    <w:lvl w:ilvl="0" w:tplc="64AC8352">
      <w:numFmt w:val="bullet"/>
      <w:lvlText w:val="—"/>
      <w:lvlJc w:val="left"/>
      <w:pPr>
        <w:ind w:left="706" w:hanging="56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1D6DEE6">
      <w:numFmt w:val="bullet"/>
      <w:lvlText w:val="•"/>
      <w:lvlJc w:val="left"/>
      <w:pPr>
        <w:ind w:left="1560" w:hanging="567"/>
      </w:pPr>
      <w:rPr>
        <w:rFonts w:hint="default"/>
        <w:lang w:val="en-US" w:eastAsia="en-US" w:bidi="ar-SA"/>
      </w:rPr>
    </w:lvl>
    <w:lvl w:ilvl="2" w:tplc="A2D4425C">
      <w:numFmt w:val="bullet"/>
      <w:lvlText w:val="•"/>
      <w:lvlJc w:val="left"/>
      <w:pPr>
        <w:ind w:left="2421" w:hanging="567"/>
      </w:pPr>
      <w:rPr>
        <w:rFonts w:hint="default"/>
        <w:lang w:val="en-US" w:eastAsia="en-US" w:bidi="ar-SA"/>
      </w:rPr>
    </w:lvl>
    <w:lvl w:ilvl="3" w:tplc="2CDA32E2">
      <w:numFmt w:val="bullet"/>
      <w:lvlText w:val="•"/>
      <w:lvlJc w:val="left"/>
      <w:pPr>
        <w:ind w:left="3281" w:hanging="567"/>
      </w:pPr>
      <w:rPr>
        <w:rFonts w:hint="default"/>
        <w:lang w:val="en-US" w:eastAsia="en-US" w:bidi="ar-SA"/>
      </w:rPr>
    </w:lvl>
    <w:lvl w:ilvl="4" w:tplc="79868C78">
      <w:numFmt w:val="bullet"/>
      <w:lvlText w:val="•"/>
      <w:lvlJc w:val="left"/>
      <w:pPr>
        <w:ind w:left="4142" w:hanging="567"/>
      </w:pPr>
      <w:rPr>
        <w:rFonts w:hint="default"/>
        <w:lang w:val="en-US" w:eastAsia="en-US" w:bidi="ar-SA"/>
      </w:rPr>
    </w:lvl>
    <w:lvl w:ilvl="5" w:tplc="5CBADEDE">
      <w:numFmt w:val="bullet"/>
      <w:lvlText w:val="•"/>
      <w:lvlJc w:val="left"/>
      <w:pPr>
        <w:ind w:left="5003" w:hanging="567"/>
      </w:pPr>
      <w:rPr>
        <w:rFonts w:hint="default"/>
        <w:lang w:val="en-US" w:eastAsia="en-US" w:bidi="ar-SA"/>
      </w:rPr>
    </w:lvl>
    <w:lvl w:ilvl="6" w:tplc="A4E8C748">
      <w:numFmt w:val="bullet"/>
      <w:lvlText w:val="•"/>
      <w:lvlJc w:val="left"/>
      <w:pPr>
        <w:ind w:left="5863" w:hanging="567"/>
      </w:pPr>
      <w:rPr>
        <w:rFonts w:hint="default"/>
        <w:lang w:val="en-US" w:eastAsia="en-US" w:bidi="ar-SA"/>
      </w:rPr>
    </w:lvl>
    <w:lvl w:ilvl="7" w:tplc="BFFCD48E">
      <w:numFmt w:val="bullet"/>
      <w:lvlText w:val="•"/>
      <w:lvlJc w:val="left"/>
      <w:pPr>
        <w:ind w:left="6724" w:hanging="567"/>
      </w:pPr>
      <w:rPr>
        <w:rFonts w:hint="default"/>
        <w:lang w:val="en-US" w:eastAsia="en-US" w:bidi="ar-SA"/>
      </w:rPr>
    </w:lvl>
    <w:lvl w:ilvl="8" w:tplc="F07EAB26">
      <w:numFmt w:val="bullet"/>
      <w:lvlText w:val="•"/>
      <w:lvlJc w:val="left"/>
      <w:pPr>
        <w:ind w:left="7585" w:hanging="567"/>
      </w:pPr>
      <w:rPr>
        <w:rFonts w:hint="default"/>
        <w:lang w:val="en-US" w:eastAsia="en-US" w:bidi="ar-SA"/>
      </w:rPr>
    </w:lvl>
  </w:abstractNum>
  <w:num w:numId="1" w16cid:durableId="62203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hideSpellingErrors/>
  <w:hideGrammaticalErrors/>
  <w:defaultTabStop w:val="720"/>
  <w:doNotHyphenateCap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99E"/>
    <w:rsid w:val="001472A5"/>
    <w:rsid w:val="001D5FEC"/>
    <w:rsid w:val="001F253A"/>
    <w:rsid w:val="0026534C"/>
    <w:rsid w:val="003B65FD"/>
    <w:rsid w:val="00432123"/>
    <w:rsid w:val="004C64B4"/>
    <w:rsid w:val="0057255F"/>
    <w:rsid w:val="0086728A"/>
    <w:rsid w:val="008A399E"/>
    <w:rsid w:val="008E010D"/>
    <w:rsid w:val="009C2B43"/>
    <w:rsid w:val="00BB7A0E"/>
    <w:rsid w:val="00C06489"/>
    <w:rsid w:val="00C600DD"/>
    <w:rsid w:val="00F8359D"/>
    <w:rsid w:val="00F9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B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61"/>
      <w:ind w:left="706" w:hanging="56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5F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FE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D5F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FEC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C2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47409639620A48BB08F713A1AC624B" ma:contentTypeVersion="14" ma:contentTypeDescription="Create a new document." ma:contentTypeScope="" ma:versionID="e684137c25bfcb0808f848828b2b14aa">
  <xsd:schema xmlns:xsd="http://www.w3.org/2001/XMLSchema" xmlns:xs="http://www.w3.org/2001/XMLSchema" xmlns:p="http://schemas.microsoft.com/office/2006/metadata/properties" xmlns:ns2="1d57a815-79e8-498e-8f04-9c2e9221b678" xmlns:ns3="05fc81c9-325d-42ab-a312-d2989bc4c6c1" targetNamespace="http://schemas.microsoft.com/office/2006/metadata/properties" ma:root="true" ma:fieldsID="429f76294ecb05dd19ae1f373506a3eb" ns2:_="" ns3:_="">
    <xsd:import namespace="1d57a815-79e8-498e-8f04-9c2e9221b678"/>
    <xsd:import namespace="05fc81c9-325d-42ab-a312-d2989bc4c6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7a815-79e8-498e-8f04-9c2e9221b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c81c9-325d-42ab-a312-d2989bc4c6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98d4f8d-5674-4ada-909c-3de2b86c3fae}" ma:internalName="TaxCatchAll" ma:showField="CatchAllData" ma:web="05fc81c9-325d-42ab-a312-d2989bc4c6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7a815-79e8-498e-8f04-9c2e9221b678">
      <Terms xmlns="http://schemas.microsoft.com/office/infopath/2007/PartnerControls"/>
    </lcf76f155ced4ddcb4097134ff3c332f>
    <TaxCatchAll xmlns="05fc81c9-325d-42ab-a312-d2989bc4c6c1" xsi:nil="true"/>
  </documentManagement>
</p:properties>
</file>

<file path=customXml/itemProps1.xml><?xml version="1.0" encoding="utf-8"?>
<ds:datastoreItem xmlns:ds="http://schemas.openxmlformats.org/officeDocument/2006/customXml" ds:itemID="{FF265FBE-B728-45FB-9570-0BBACC96E6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0CEBE-DC69-4498-A53C-989B0643353D}"/>
</file>

<file path=customXml/itemProps3.xml><?xml version="1.0" encoding="utf-8"?>
<ds:datastoreItem xmlns:ds="http://schemas.openxmlformats.org/officeDocument/2006/customXml" ds:itemID="{201C9945-E2F5-4FCE-A978-6C74EDFD54B4}">
  <ds:schemaRefs>
    <ds:schemaRef ds:uri="http://schemas.microsoft.com/office/2006/metadata/properties"/>
    <ds:schemaRef ds:uri="http://schemas.microsoft.com/office/infopath/2007/PartnerControls"/>
    <ds:schemaRef ds:uri="1d57a815-79e8-498e-8f04-9c2e9221b678"/>
    <ds:schemaRef ds:uri="05fc81c9-325d-42ab-a312-d2989bc4c6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2024-10-08T11:44:00Z</dcterms:created>
  <dcterms:modified xsi:type="dcterms:W3CDTF">2024-12-03T12:35:00Z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0x0101006747409639620A48BB08F713A1AC624B</vt:lpwstr>
  </property>
  <property fmtid="{D5CDD505-2E9C-101B-9397-08002B2CF9AE}" pid="3" name="MediaServiceImageTags">
    <vt:lpwstr/>
  </property>
</Properties>
</file>