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2392B" w14:textId="77777777" w:rsidR="0080159C" w:rsidRPr="00A11D5F" w:rsidRDefault="0080159C" w:rsidP="00345CA5">
      <w:pPr>
        <w:jc w:val="center"/>
        <w:rPr>
          <w:rFonts w:ascii="Times New Roman" w:hAnsi="Times New Roman"/>
          <w:noProof/>
          <w:sz w:val="24"/>
        </w:rPr>
      </w:pPr>
    </w:p>
    <w:p w14:paraId="0998131F" w14:textId="77777777" w:rsidR="0080159C" w:rsidRDefault="0080159C" w:rsidP="00345CA5">
      <w:pPr>
        <w:jc w:val="center"/>
        <w:rPr>
          <w:rFonts w:ascii="Times New Roman" w:hAnsi="Times New Roman"/>
          <w:b/>
          <w:bCs/>
          <w:noProof/>
          <w:sz w:val="24"/>
        </w:rPr>
      </w:pPr>
      <w:r>
        <w:rPr>
          <w:rFonts w:ascii="Times New Roman" w:hAnsi="Times New Roman"/>
          <w:b/>
          <w:i/>
          <w:iCs/>
          <w:sz w:val="24"/>
        </w:rPr>
        <w:t>ED</w:t>
      </w:r>
      <w:r>
        <w:rPr>
          <w:rFonts w:ascii="Times New Roman" w:hAnsi="Times New Roman"/>
          <w:b/>
          <w:sz w:val="24"/>
        </w:rPr>
        <w:t xml:space="preserve"> Lēmuma 2020/005/R IV pielikums</w:t>
      </w:r>
    </w:p>
    <w:p w14:paraId="63A81B09" w14:textId="77777777" w:rsidR="00345CA5" w:rsidRPr="00E53955" w:rsidRDefault="00345CA5" w:rsidP="00345CA5">
      <w:pPr>
        <w:jc w:val="center"/>
        <w:rPr>
          <w:rFonts w:ascii="Times New Roman" w:hAnsi="Times New Roman"/>
          <w:b/>
          <w:bCs/>
          <w:noProof/>
          <w:sz w:val="24"/>
        </w:rPr>
      </w:pPr>
    </w:p>
    <w:p w14:paraId="2A224057" w14:textId="77777777" w:rsidR="0080159C" w:rsidRDefault="0080159C" w:rsidP="00345CA5">
      <w:pPr>
        <w:jc w:val="center"/>
        <w:rPr>
          <w:rFonts w:ascii="Times New Roman" w:hAnsi="Times New Roman"/>
          <w:b/>
          <w:noProof/>
          <w:sz w:val="24"/>
        </w:rPr>
      </w:pP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par </w:t>
      </w:r>
      <w:r>
        <w:rPr>
          <w:rFonts w:ascii="Times New Roman" w:hAnsi="Times New Roman"/>
          <w:b/>
          <w:i/>
          <w:iCs/>
          <w:sz w:val="24"/>
        </w:rPr>
        <w:t>DTO</w:t>
      </w:r>
      <w:r>
        <w:rPr>
          <w:rFonts w:ascii="Times New Roman" w:hAnsi="Times New Roman"/>
          <w:b/>
          <w:sz w:val="24"/>
        </w:rPr>
        <w:t> daļu. 1. izdevums, 1. grozījums</w:t>
      </w:r>
    </w:p>
    <w:p w14:paraId="0DFF1815" w14:textId="77777777" w:rsidR="00345CA5" w:rsidRPr="00A11D5F" w:rsidRDefault="00345CA5" w:rsidP="00651B2B">
      <w:pPr>
        <w:jc w:val="both"/>
        <w:rPr>
          <w:rFonts w:ascii="Times New Roman" w:hAnsi="Times New Roman"/>
          <w:b/>
          <w:noProof/>
          <w:sz w:val="24"/>
        </w:rPr>
      </w:pPr>
    </w:p>
    <w:p w14:paraId="7F0B064B" w14:textId="77777777" w:rsidR="0080159C" w:rsidRPr="00A11D5F" w:rsidRDefault="0080159C" w:rsidP="00651B2B">
      <w:pPr>
        <w:jc w:val="both"/>
        <w:rPr>
          <w:rFonts w:ascii="Times New Roman" w:hAnsi="Times New Roman"/>
          <w:b/>
          <w:noProof/>
          <w:sz w:val="24"/>
        </w:rPr>
      </w:pPr>
    </w:p>
    <w:p w14:paraId="64FD7064" w14:textId="77777777" w:rsidR="0080159C" w:rsidRDefault="0080159C" w:rsidP="00651B2B">
      <w:pPr>
        <w:jc w:val="both"/>
        <w:rPr>
          <w:rFonts w:ascii="Times New Roman" w:hAnsi="Times New Roman"/>
          <w:noProof/>
          <w:sz w:val="24"/>
        </w:rPr>
      </w:pPr>
      <w:r>
        <w:rPr>
          <w:rFonts w:ascii="Times New Roman" w:hAnsi="Times New Roman"/>
          <w:sz w:val="24"/>
        </w:rPr>
        <w:t xml:space="preserve">2018. gada 14. septembra </w:t>
      </w:r>
      <w:r>
        <w:rPr>
          <w:rFonts w:ascii="Times New Roman" w:hAnsi="Times New Roman"/>
          <w:i/>
          <w:iCs/>
          <w:sz w:val="24"/>
        </w:rPr>
        <w:t>ED</w:t>
      </w:r>
      <w:r>
        <w:rPr>
          <w:rFonts w:ascii="Times New Roman" w:hAnsi="Times New Roman"/>
          <w:sz w:val="24"/>
        </w:rPr>
        <w:t xml:space="preserve"> Lēmuma 2018/009/R pielikums ir grozīts atbilstīgi tam, kā noteikts turpmāk.</w:t>
      </w:r>
    </w:p>
    <w:p w14:paraId="079CA15C" w14:textId="77777777" w:rsidR="00345CA5" w:rsidRPr="00A11D5F" w:rsidRDefault="00345CA5" w:rsidP="00651B2B">
      <w:pPr>
        <w:jc w:val="both"/>
        <w:rPr>
          <w:rFonts w:ascii="Times New Roman" w:hAnsi="Times New Roman"/>
          <w:noProof/>
          <w:sz w:val="24"/>
        </w:rPr>
      </w:pPr>
    </w:p>
    <w:p w14:paraId="69CDA3FD" w14:textId="77777777" w:rsidR="0080159C" w:rsidRPr="00A11D5F" w:rsidRDefault="0080159C" w:rsidP="00651B2B">
      <w:pPr>
        <w:jc w:val="both"/>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1118FDD3" w14:textId="3D4804D0" w:rsidR="0080159C" w:rsidRPr="00A11D5F" w:rsidRDefault="00D368EE" w:rsidP="00651B2B">
      <w:pPr>
        <w:jc w:val="both"/>
        <w:rPr>
          <w:rFonts w:ascii="Times New Roman" w:hAnsi="Times New Roman"/>
          <w:noProof/>
          <w:sz w:val="24"/>
        </w:rPr>
      </w:pPr>
      <w:r>
        <w:rPr>
          <w:rFonts w:ascii="Times New Roman" w:hAnsi="Times New Roman"/>
          <w:sz w:val="24"/>
        </w:rPr>
        <w:t xml:space="preserve">a) svītrotais teksts ir </w:t>
      </w:r>
      <w:r>
        <w:rPr>
          <w:rFonts w:ascii="Times New Roman" w:hAnsi="Times New Roman"/>
          <w:strike/>
          <w:color w:val="FF0000"/>
          <w:sz w:val="24"/>
        </w:rPr>
        <w:t>pārsvītrots</w:t>
      </w:r>
      <w:r>
        <w:rPr>
          <w:rFonts w:ascii="Times New Roman" w:hAnsi="Times New Roman"/>
          <w:sz w:val="24"/>
        </w:rPr>
        <w:t>;</w:t>
      </w:r>
    </w:p>
    <w:p w14:paraId="06CE4420" w14:textId="4997CE8E" w:rsidR="0080159C" w:rsidRPr="00A11D5F" w:rsidRDefault="00D368EE" w:rsidP="00651B2B">
      <w:pPr>
        <w:jc w:val="both"/>
        <w:rPr>
          <w:rFonts w:ascii="Times New Roman" w:hAnsi="Times New Roman"/>
          <w:noProof/>
          <w:sz w:val="24"/>
        </w:rPr>
      </w:pPr>
      <w:r>
        <w:rPr>
          <w:rFonts w:ascii="Times New Roman" w:hAnsi="Times New Roman"/>
          <w:sz w:val="24"/>
        </w:rPr>
        <w:t xml:space="preserve">b) jaunais vai grozītais teksts ir iekrāsots </w:t>
      </w:r>
      <w:r>
        <w:rPr>
          <w:rFonts w:ascii="Times New Roman" w:hAnsi="Times New Roman"/>
          <w:sz w:val="24"/>
          <w:highlight w:val="cyan"/>
        </w:rPr>
        <w:t>zilā</w:t>
      </w:r>
      <w:r>
        <w:rPr>
          <w:rFonts w:ascii="Times New Roman" w:hAnsi="Times New Roman"/>
          <w:sz w:val="24"/>
        </w:rPr>
        <w:t xml:space="preserve"> krāsā un</w:t>
      </w:r>
    </w:p>
    <w:p w14:paraId="32182324" w14:textId="31286965" w:rsidR="0080159C" w:rsidRPr="00A11D5F" w:rsidRDefault="00D368EE" w:rsidP="00651B2B">
      <w:pPr>
        <w:jc w:val="both"/>
        <w:rPr>
          <w:rFonts w:ascii="Times New Roman" w:hAnsi="Times New Roman"/>
          <w:noProof/>
          <w:sz w:val="24"/>
        </w:rPr>
      </w:pPr>
      <w:r>
        <w:rPr>
          <w:rFonts w:ascii="Times New Roman" w:hAnsi="Times New Roman"/>
          <w:sz w:val="24"/>
        </w:rPr>
        <w:t>c) divpunkte “(..)” norāda, ka pārējais teksts nav grozīts.</w:t>
      </w:r>
    </w:p>
    <w:p w14:paraId="208BF2C1" w14:textId="7660123E" w:rsidR="00D368EE" w:rsidRDefault="00D368EE">
      <w:pPr>
        <w:rPr>
          <w:rFonts w:ascii="Times New Roman" w:hAnsi="Times New Roman"/>
          <w:noProof/>
          <w:sz w:val="24"/>
        </w:rPr>
      </w:pPr>
      <w:r>
        <w:br w:type="page"/>
      </w:r>
    </w:p>
    <w:p w14:paraId="0D6E0BD6" w14:textId="0B0B918B" w:rsidR="00EF4DEB" w:rsidRPr="00EF4DEB" w:rsidRDefault="00EF4DEB" w:rsidP="00EF4DEB">
      <w:pPr>
        <w:shd w:val="clear" w:color="auto" w:fill="FFC000"/>
        <w:jc w:val="both"/>
        <w:rPr>
          <w:rFonts w:ascii="Times New Roman" w:hAnsi="Times New Roman" w:cs="Times New Roman"/>
          <w:b/>
          <w:noProof/>
          <w:color w:val="000000"/>
          <w:sz w:val="24"/>
        </w:rPr>
      </w:pPr>
      <w:r>
        <w:rPr>
          <w:rFonts w:ascii="Times New Roman" w:hAnsi="Times New Roman"/>
          <w:b/>
          <w:color w:val="000000"/>
          <w:sz w:val="24"/>
          <w:highlight w:val="cyan"/>
        </w:rPr>
        <w:lastRenderedPageBreak/>
        <w:t>AMC3 par DTO.GEN.240. punktu “Mācību</w:t>
      </w:r>
      <w:r w:rsidR="001D1369">
        <w:rPr>
          <w:rFonts w:ascii="Times New Roman" w:hAnsi="Times New Roman"/>
          <w:b/>
          <w:color w:val="000000"/>
          <w:sz w:val="24"/>
          <w:highlight w:val="cyan"/>
        </w:rPr>
        <w:t xml:space="preserve"> gaisa kuģis jeb</w:t>
      </w:r>
      <w:r>
        <w:rPr>
          <w:rFonts w:ascii="Times New Roman" w:hAnsi="Times New Roman"/>
          <w:b/>
          <w:color w:val="000000"/>
          <w:sz w:val="24"/>
          <w:highlight w:val="cyan"/>
        </w:rPr>
        <w:t xml:space="preserve"> lidaparāts un </w:t>
      </w:r>
      <w:r>
        <w:rPr>
          <w:rFonts w:ascii="Times New Roman" w:hAnsi="Times New Roman"/>
          <w:b/>
          <w:i/>
          <w:iCs/>
          <w:color w:val="000000"/>
          <w:sz w:val="24"/>
          <w:highlight w:val="cyan"/>
        </w:rPr>
        <w:t>FSTD</w:t>
      </w:r>
      <w:r>
        <w:rPr>
          <w:rFonts w:ascii="Times New Roman" w:hAnsi="Times New Roman"/>
          <w:b/>
          <w:color w:val="000000"/>
          <w:sz w:val="24"/>
          <w:highlight w:val="cyan"/>
        </w:rPr>
        <w:t>”</w:t>
      </w:r>
    </w:p>
    <w:p w14:paraId="55B1E457" w14:textId="77777777" w:rsidR="00EF4DEB" w:rsidRDefault="00EF4DEB" w:rsidP="00651B2B">
      <w:pPr>
        <w:jc w:val="both"/>
        <w:rPr>
          <w:rFonts w:ascii="Times New Roman" w:hAnsi="Times New Roman"/>
          <w:noProof/>
          <w:color w:val="000000"/>
          <w:sz w:val="24"/>
          <w:highlight w:val="cyan"/>
        </w:rPr>
      </w:pPr>
    </w:p>
    <w:p w14:paraId="1F124B55" w14:textId="216FB650" w:rsidR="0080159C" w:rsidRPr="00EE72AA" w:rsidRDefault="0080159C" w:rsidP="00651B2B">
      <w:pPr>
        <w:jc w:val="both"/>
        <w:rPr>
          <w:rFonts w:ascii="Times New Roman" w:hAnsi="Times New Roman"/>
          <w:b/>
          <w:bCs/>
          <w:noProof/>
          <w:color w:val="000000"/>
          <w:sz w:val="24"/>
        </w:rPr>
      </w:pPr>
      <w:r>
        <w:rPr>
          <w:rFonts w:ascii="Times New Roman" w:hAnsi="Times New Roman"/>
          <w:b/>
          <w:color w:val="000000"/>
          <w:sz w:val="24"/>
          <w:highlight w:val="cyan"/>
        </w:rPr>
        <w:t>NOVĒRTĒŠANA</w:t>
      </w:r>
    </w:p>
    <w:p w14:paraId="67EDCA6F" w14:textId="77777777" w:rsidR="00EF4DEB" w:rsidRPr="00A11D5F" w:rsidRDefault="00EF4DEB" w:rsidP="00651B2B">
      <w:pPr>
        <w:jc w:val="both"/>
        <w:rPr>
          <w:rFonts w:ascii="Times New Roman" w:hAnsi="Times New Roman"/>
          <w:noProof/>
          <w:color w:val="000000"/>
          <w:sz w:val="24"/>
        </w:rPr>
      </w:pPr>
    </w:p>
    <w:p w14:paraId="1BE0B101" w14:textId="77777777" w:rsidR="0080159C" w:rsidRDefault="0080159C" w:rsidP="00651B2B">
      <w:pPr>
        <w:jc w:val="both"/>
        <w:rPr>
          <w:rFonts w:ascii="Times New Roman" w:hAnsi="Times New Roman"/>
          <w:noProof/>
          <w:color w:val="000000"/>
          <w:sz w:val="24"/>
        </w:rPr>
      </w:pPr>
      <w:r>
        <w:rPr>
          <w:rFonts w:ascii="Times New Roman" w:hAnsi="Times New Roman"/>
          <w:color w:val="000000"/>
          <w:sz w:val="24"/>
          <w:highlight w:val="cyan"/>
        </w:rPr>
        <w:t>I pielikumā minēto lidaparātu novērtēšanai ir divi varianti:</w:t>
      </w:r>
    </w:p>
    <w:p w14:paraId="381FC837" w14:textId="77777777" w:rsidR="00EF4DEB" w:rsidRPr="00A11D5F" w:rsidRDefault="00EF4DEB" w:rsidP="00651B2B">
      <w:pPr>
        <w:jc w:val="both"/>
        <w:rPr>
          <w:rFonts w:ascii="Times New Roman" w:hAnsi="Times New Roman"/>
          <w:noProof/>
          <w:color w:val="000000"/>
          <w:sz w:val="24"/>
        </w:rPr>
      </w:pPr>
    </w:p>
    <w:p w14:paraId="15F344E3" w14:textId="3AC6DDB2" w:rsidR="0080159C" w:rsidRPr="00A11D5F" w:rsidRDefault="00EE72AA" w:rsidP="00661672">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a) I pielikumā minētie lidaparāti, kuriem ir </w:t>
      </w:r>
      <w:r>
        <w:rPr>
          <w:rFonts w:ascii="Times New Roman" w:hAnsi="Times New Roman"/>
          <w:i/>
          <w:iCs/>
          <w:color w:val="000000"/>
          <w:sz w:val="24"/>
          <w:highlight w:val="cyan"/>
        </w:rPr>
        <w:t>ICAO</w:t>
      </w:r>
      <w:r>
        <w:rPr>
          <w:rFonts w:ascii="Times New Roman" w:hAnsi="Times New Roman"/>
          <w:color w:val="000000"/>
          <w:sz w:val="24"/>
          <w:highlight w:val="cyan"/>
        </w:rPr>
        <w:t xml:space="preserve"> līmeņa lidojumderīguma sertifikāts (</w:t>
      </w:r>
      <w:r>
        <w:rPr>
          <w:rFonts w:ascii="Times New Roman" w:hAnsi="Times New Roman"/>
          <w:i/>
          <w:iCs/>
          <w:color w:val="000000"/>
          <w:sz w:val="24"/>
          <w:highlight w:val="cyan"/>
        </w:rPr>
        <w:t>CoA</w:t>
      </w:r>
      <w:r>
        <w:rPr>
          <w:rFonts w:ascii="Times New Roman" w:hAnsi="Times New Roman"/>
          <w:color w:val="000000"/>
          <w:sz w:val="24"/>
          <w:highlight w:val="cyan"/>
        </w:rPr>
        <w:t>)</w:t>
      </w:r>
    </w:p>
    <w:p w14:paraId="3269E57E" w14:textId="77777777" w:rsidR="00EE72AA" w:rsidRPr="00661672" w:rsidRDefault="00EE72AA" w:rsidP="00661672">
      <w:pPr>
        <w:jc w:val="both"/>
        <w:rPr>
          <w:rFonts w:ascii="Times New Roman" w:hAnsi="Times New Roman" w:cs="Times New Roman"/>
          <w:noProof/>
          <w:sz w:val="24"/>
          <w:szCs w:val="24"/>
        </w:rPr>
      </w:pPr>
    </w:p>
    <w:p w14:paraId="30C8E045" w14:textId="17F2BF38" w:rsidR="0080159C" w:rsidRPr="00661672" w:rsidRDefault="00EE72AA" w:rsidP="00661672">
      <w:pPr>
        <w:pStyle w:val="BodyText"/>
        <w:ind w:left="567" w:hanging="284"/>
        <w:jc w:val="both"/>
        <w:rPr>
          <w:rFonts w:ascii="Times New Roman" w:hAnsi="Times New Roman" w:cs="Times New Roman"/>
          <w:noProof/>
          <w:color w:val="000000"/>
          <w:sz w:val="24"/>
          <w:szCs w:val="24"/>
        </w:rPr>
      </w:pPr>
      <w:r>
        <w:rPr>
          <w:rFonts w:ascii="Times New Roman" w:hAnsi="Times New Roman"/>
          <w:sz w:val="24"/>
          <w:highlight w:val="cyan"/>
        </w:rPr>
        <w:t xml:space="preserve">1) Lai papildinātu novērtēšanas procesu, ko veic kompetentā iestāde, un sniegtu kompetentajai iestādei pietiekamus datus par attiecīgo lidaparātu, </w:t>
      </w:r>
      <w:r>
        <w:rPr>
          <w:rFonts w:ascii="Times New Roman" w:hAnsi="Times New Roman"/>
          <w:color w:val="000000"/>
          <w:sz w:val="24"/>
          <w:highlight w:val="cyan"/>
        </w:rPr>
        <w:t>instruktoram, kurš kvalificēts saskaņā ar Regulas (ES) Nr. 1187/2011 I pielikumu (</w:t>
      </w:r>
      <w:r>
        <w:rPr>
          <w:rFonts w:ascii="Times New Roman" w:hAnsi="Times New Roman"/>
          <w:i/>
          <w:iCs/>
          <w:color w:val="000000"/>
          <w:sz w:val="24"/>
          <w:highlight w:val="cyan"/>
        </w:rPr>
        <w:t>FCL</w:t>
      </w:r>
      <w:r>
        <w:rPr>
          <w:rFonts w:ascii="Times New Roman" w:hAnsi="Times New Roman"/>
          <w:color w:val="000000"/>
          <w:sz w:val="24"/>
          <w:highlight w:val="cyan"/>
        </w:rPr>
        <w:t xml:space="preserve"> daļa) un kuru iecēlis </w:t>
      </w:r>
      <w:r>
        <w:rPr>
          <w:rFonts w:ascii="Times New Roman" w:hAnsi="Times New Roman"/>
          <w:i/>
          <w:iCs/>
          <w:color w:val="000000"/>
          <w:sz w:val="24"/>
          <w:highlight w:val="cyan"/>
        </w:rPr>
        <w:t>DTO</w:t>
      </w:r>
      <w:r>
        <w:rPr>
          <w:rFonts w:ascii="Times New Roman" w:hAnsi="Times New Roman"/>
          <w:color w:val="000000"/>
          <w:sz w:val="24"/>
          <w:highlight w:val="cyan"/>
        </w:rPr>
        <w:t xml:space="preserve"> mācību kursa vadītājs (</w:t>
      </w:r>
      <w:r>
        <w:rPr>
          <w:rFonts w:ascii="Times New Roman" w:hAnsi="Times New Roman"/>
          <w:i/>
          <w:iCs/>
          <w:color w:val="000000"/>
          <w:sz w:val="24"/>
          <w:highlight w:val="cyan"/>
        </w:rPr>
        <w:t>HT</w:t>
      </w:r>
      <w:r>
        <w:rPr>
          <w:rFonts w:ascii="Times New Roman" w:hAnsi="Times New Roman"/>
          <w:color w:val="000000"/>
          <w:sz w:val="24"/>
          <w:highlight w:val="cyan"/>
        </w:rPr>
        <w:t>), jānovērtē, vai lidaparāts ir atbilstīgi aprīkots un piemērots paredzētajiem mācību kursiem. Šā novērtējuma rezultāts jāiesniedz kompetentajai iestādei, un to var iekļaut jau atļaujas pieteikumā.</w:t>
      </w:r>
    </w:p>
    <w:p w14:paraId="17E646F5" w14:textId="77777777" w:rsidR="00661672" w:rsidRPr="00661672" w:rsidRDefault="00661672" w:rsidP="00661672">
      <w:pPr>
        <w:pStyle w:val="BodyText"/>
        <w:ind w:left="0"/>
        <w:jc w:val="both"/>
        <w:rPr>
          <w:rFonts w:ascii="Times New Roman" w:hAnsi="Times New Roman" w:cs="Times New Roman"/>
          <w:noProof/>
          <w:color w:val="000000"/>
          <w:sz w:val="24"/>
          <w:szCs w:val="24"/>
        </w:rPr>
      </w:pPr>
    </w:p>
    <w:p w14:paraId="21EBB624" w14:textId="6CF90113" w:rsidR="0080159C" w:rsidRPr="00661672" w:rsidRDefault="00661672" w:rsidP="00661672">
      <w:pPr>
        <w:pStyle w:val="BodyText"/>
        <w:ind w:left="567" w:hanging="284"/>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2) Novērtēšanas procesā kompetentajai iestādei jānovērtē, ka lidaparāts, kuram piešķirta </w:t>
      </w:r>
      <w:r>
        <w:rPr>
          <w:rFonts w:ascii="Times New Roman" w:hAnsi="Times New Roman"/>
          <w:i/>
          <w:iCs/>
          <w:color w:val="000000"/>
          <w:sz w:val="24"/>
          <w:highlight w:val="cyan"/>
        </w:rPr>
        <w:t>CoA</w:t>
      </w:r>
      <w:r>
        <w:rPr>
          <w:rFonts w:ascii="Times New Roman" w:hAnsi="Times New Roman"/>
          <w:color w:val="000000"/>
          <w:sz w:val="24"/>
          <w:highlight w:val="cyan"/>
        </w:rPr>
        <w:t>, kas izdota saskaņā ar Čikāgas konvencijas 8. pielikumu, nodrošina Pamatregulas II pielikumā prasītajam pielīdzināmu droš</w:t>
      </w:r>
      <w:r w:rsidR="00E07BA8">
        <w:rPr>
          <w:rFonts w:ascii="Times New Roman" w:hAnsi="Times New Roman"/>
          <w:color w:val="000000"/>
          <w:sz w:val="24"/>
          <w:highlight w:val="cyan"/>
        </w:rPr>
        <w:t>uma</w:t>
      </w:r>
      <w:r>
        <w:rPr>
          <w:rFonts w:ascii="Times New Roman" w:hAnsi="Times New Roman"/>
          <w:color w:val="000000"/>
          <w:sz w:val="24"/>
          <w:highlight w:val="cyan"/>
        </w:rPr>
        <w:t xml:space="preserve"> līmeni, izņemot gadījumus, kad kompetentā iestāde nosaka, ka lidojumderīguma prasības, kas izmantotas lidaparāta sertifikācijai, vai ekspluatācijas pieredze, vai projektētājvalsts droš</w:t>
      </w:r>
      <w:r w:rsidR="00C26EF9">
        <w:rPr>
          <w:rFonts w:ascii="Times New Roman" w:hAnsi="Times New Roman"/>
          <w:color w:val="000000"/>
          <w:sz w:val="24"/>
          <w:highlight w:val="cyan"/>
        </w:rPr>
        <w:t>uma</w:t>
      </w:r>
      <w:r>
        <w:rPr>
          <w:rFonts w:ascii="Times New Roman" w:hAnsi="Times New Roman"/>
          <w:color w:val="000000"/>
          <w:sz w:val="24"/>
          <w:highlight w:val="cyan"/>
        </w:rPr>
        <w:t xml:space="preserve"> sistēma nenodrošina pielīdzināmu droš</w:t>
      </w:r>
      <w:r w:rsidR="00C26EF9">
        <w:rPr>
          <w:rFonts w:ascii="Times New Roman" w:hAnsi="Times New Roman"/>
          <w:color w:val="000000"/>
          <w:sz w:val="24"/>
          <w:highlight w:val="cyan"/>
        </w:rPr>
        <w:t>uma</w:t>
      </w:r>
      <w:r>
        <w:rPr>
          <w:rFonts w:ascii="Times New Roman" w:hAnsi="Times New Roman"/>
          <w:color w:val="000000"/>
          <w:sz w:val="24"/>
          <w:highlight w:val="cyan"/>
        </w:rPr>
        <w:t xml:space="preserve"> līmeni.</w:t>
      </w:r>
    </w:p>
    <w:p w14:paraId="0AB84B54" w14:textId="77777777" w:rsidR="00661672" w:rsidRPr="00A11D5F" w:rsidRDefault="00661672" w:rsidP="00661672">
      <w:pPr>
        <w:pStyle w:val="BodyText"/>
        <w:spacing w:line="268" w:lineRule="exact"/>
        <w:ind w:left="0"/>
        <w:rPr>
          <w:rFonts w:ascii="Times New Roman" w:hAnsi="Times New Roman"/>
          <w:noProof/>
          <w:color w:val="000000"/>
          <w:sz w:val="24"/>
        </w:rPr>
      </w:pPr>
    </w:p>
    <w:p w14:paraId="6AB75892" w14:textId="51CCB350" w:rsidR="0080159C" w:rsidRDefault="009D07ED" w:rsidP="009D07ED">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b) I pielikumā minētie lidaparāti, kuriem nav </w:t>
      </w:r>
      <w:r>
        <w:rPr>
          <w:rFonts w:ascii="Times New Roman" w:hAnsi="Times New Roman"/>
          <w:i/>
          <w:iCs/>
          <w:color w:val="000000"/>
          <w:sz w:val="24"/>
          <w:highlight w:val="cyan"/>
        </w:rPr>
        <w:t>ICAO</w:t>
      </w:r>
      <w:r>
        <w:rPr>
          <w:rFonts w:ascii="Times New Roman" w:hAnsi="Times New Roman"/>
          <w:color w:val="000000"/>
          <w:sz w:val="24"/>
          <w:highlight w:val="cyan"/>
        </w:rPr>
        <w:t xml:space="preserve"> līmeņa </w:t>
      </w:r>
      <w:r>
        <w:rPr>
          <w:rFonts w:ascii="Times New Roman" w:hAnsi="Times New Roman"/>
          <w:i/>
          <w:iCs/>
          <w:color w:val="000000"/>
          <w:sz w:val="24"/>
          <w:highlight w:val="cyan"/>
        </w:rPr>
        <w:t>CoA</w:t>
      </w:r>
    </w:p>
    <w:p w14:paraId="26B39629" w14:textId="77777777" w:rsidR="009D07ED" w:rsidRPr="00A11D5F" w:rsidRDefault="009D07ED" w:rsidP="009D07ED">
      <w:pPr>
        <w:ind w:left="284" w:hanging="284"/>
        <w:jc w:val="both"/>
        <w:rPr>
          <w:rFonts w:ascii="Times New Roman" w:hAnsi="Times New Roman"/>
          <w:noProof/>
          <w:color w:val="000000"/>
          <w:sz w:val="24"/>
        </w:rPr>
      </w:pPr>
    </w:p>
    <w:p w14:paraId="16CDBC8C" w14:textId="77777777" w:rsidR="0080159C" w:rsidRDefault="0080159C" w:rsidP="009D07ED">
      <w:pPr>
        <w:ind w:left="284"/>
        <w:jc w:val="both"/>
        <w:rPr>
          <w:rFonts w:ascii="Times New Roman" w:hAnsi="Times New Roman"/>
          <w:noProof/>
          <w:color w:val="000000"/>
          <w:sz w:val="24"/>
        </w:rPr>
      </w:pPr>
      <w:r>
        <w:rPr>
          <w:rFonts w:ascii="Times New Roman" w:hAnsi="Times New Roman"/>
          <w:color w:val="000000"/>
          <w:sz w:val="24"/>
          <w:highlight w:val="cyan"/>
        </w:rPr>
        <w:t xml:space="preserve">Pirms šo lidaparātu iekļaušanas </w:t>
      </w:r>
      <w:r>
        <w:rPr>
          <w:rFonts w:ascii="Times New Roman" w:hAnsi="Times New Roman"/>
          <w:i/>
          <w:iCs/>
          <w:color w:val="000000"/>
          <w:sz w:val="24"/>
          <w:highlight w:val="cyan"/>
        </w:rPr>
        <w:t>DTO</w:t>
      </w:r>
      <w:r>
        <w:rPr>
          <w:rFonts w:ascii="Times New Roman" w:hAnsi="Times New Roman"/>
          <w:color w:val="000000"/>
          <w:sz w:val="24"/>
          <w:highlight w:val="cyan"/>
        </w:rPr>
        <w:t xml:space="preserve"> flotē un izmantošanas mācībās, lai iegūtu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apliecības un kvalifikācijas, </w:t>
      </w:r>
      <w:r>
        <w:rPr>
          <w:rFonts w:ascii="Times New Roman" w:hAnsi="Times New Roman"/>
          <w:i/>
          <w:iCs/>
          <w:color w:val="000000"/>
          <w:sz w:val="24"/>
          <w:highlight w:val="cyan"/>
        </w:rPr>
        <w:t>DTO</w:t>
      </w:r>
      <w:r>
        <w:rPr>
          <w:rFonts w:ascii="Times New Roman" w:hAnsi="Times New Roman"/>
          <w:color w:val="000000"/>
          <w:sz w:val="24"/>
          <w:highlight w:val="cyan"/>
        </w:rPr>
        <w:t xml:space="preserve"> jāiesniedz pieteikums atļaujas saņemšanai kompetentajai iestādei, kurai jāveic novērtēšana šādā secībā:</w:t>
      </w:r>
    </w:p>
    <w:p w14:paraId="1983DD5C" w14:textId="77777777" w:rsidR="009D07ED" w:rsidRPr="00A11D5F" w:rsidRDefault="009D07ED" w:rsidP="009D07ED">
      <w:pPr>
        <w:ind w:left="284"/>
        <w:jc w:val="both"/>
        <w:rPr>
          <w:rFonts w:ascii="Times New Roman" w:hAnsi="Times New Roman"/>
          <w:noProof/>
          <w:color w:val="000000"/>
          <w:sz w:val="24"/>
        </w:rPr>
      </w:pPr>
    </w:p>
    <w:p w14:paraId="6DC702BA" w14:textId="10C2D64C" w:rsidR="0080159C" w:rsidRDefault="009D07ED" w:rsidP="009D07ED">
      <w:pPr>
        <w:ind w:left="567" w:hanging="284"/>
        <w:jc w:val="both"/>
        <w:rPr>
          <w:rFonts w:ascii="Times New Roman" w:hAnsi="Times New Roman"/>
          <w:noProof/>
          <w:color w:val="000000"/>
          <w:sz w:val="24"/>
        </w:rPr>
      </w:pPr>
      <w:r>
        <w:rPr>
          <w:rFonts w:ascii="Times New Roman" w:hAnsi="Times New Roman"/>
          <w:color w:val="000000"/>
          <w:sz w:val="24"/>
          <w:highlight w:val="cyan"/>
        </w:rPr>
        <w:t>1) kompetentās iestādes sākotnējais novērtējums un vērtēšanā izmantotie kritēriji;</w:t>
      </w:r>
    </w:p>
    <w:p w14:paraId="2D855DBB" w14:textId="77777777" w:rsidR="009D07ED" w:rsidRPr="00A11D5F" w:rsidRDefault="009D07ED" w:rsidP="009D07ED">
      <w:pPr>
        <w:ind w:left="567" w:hanging="284"/>
        <w:jc w:val="both"/>
        <w:rPr>
          <w:rFonts w:ascii="Times New Roman" w:hAnsi="Times New Roman"/>
          <w:noProof/>
          <w:color w:val="000000"/>
          <w:sz w:val="24"/>
        </w:rPr>
      </w:pPr>
    </w:p>
    <w:p w14:paraId="06C0786F" w14:textId="77777777" w:rsidR="0080159C" w:rsidRDefault="0080159C" w:rsidP="00CB6667">
      <w:pPr>
        <w:ind w:left="567"/>
        <w:jc w:val="both"/>
        <w:rPr>
          <w:rFonts w:ascii="Times New Roman" w:hAnsi="Times New Roman"/>
          <w:noProof/>
          <w:color w:val="000000"/>
          <w:sz w:val="24"/>
        </w:rPr>
      </w:pPr>
      <w:r>
        <w:rPr>
          <w:rFonts w:ascii="Times New Roman" w:hAnsi="Times New Roman"/>
          <w:color w:val="000000"/>
          <w:sz w:val="24"/>
          <w:highlight w:val="cyan"/>
        </w:rPr>
        <w:t>kompetentajai iestādei jāņem vērā šādi kritēriji (</w:t>
      </w:r>
      <w:r w:rsidRPr="00A40A2B">
        <w:rPr>
          <w:rFonts w:ascii="Times New Roman" w:hAnsi="Times New Roman"/>
          <w:color w:val="000000"/>
          <w:sz w:val="24"/>
          <w:highlight w:val="cyan"/>
        </w:rPr>
        <w:t>nepilnīgs uzskaitījums</w:t>
      </w:r>
      <w:r>
        <w:rPr>
          <w:rFonts w:ascii="Times New Roman" w:hAnsi="Times New Roman"/>
          <w:color w:val="000000"/>
          <w:sz w:val="24"/>
          <w:highlight w:val="cyan"/>
        </w:rPr>
        <w:t>):</w:t>
      </w:r>
    </w:p>
    <w:p w14:paraId="312DB904" w14:textId="77777777" w:rsidR="009D07ED" w:rsidRPr="00A11D5F" w:rsidRDefault="009D07ED" w:rsidP="009D07ED">
      <w:pPr>
        <w:ind w:left="284"/>
        <w:jc w:val="both"/>
        <w:rPr>
          <w:rFonts w:ascii="Times New Roman" w:hAnsi="Times New Roman"/>
          <w:noProof/>
          <w:color w:val="000000"/>
          <w:sz w:val="24"/>
        </w:rPr>
      </w:pPr>
    </w:p>
    <w:p w14:paraId="20D8EC4E" w14:textId="00415B77" w:rsidR="0080159C" w:rsidRPr="00A11D5F" w:rsidRDefault="009D07ED" w:rsidP="00CB6667">
      <w:pPr>
        <w:ind w:left="851" w:hanging="284"/>
        <w:jc w:val="both"/>
        <w:rPr>
          <w:rFonts w:ascii="Times New Roman" w:hAnsi="Times New Roman"/>
          <w:noProof/>
          <w:color w:val="000000"/>
          <w:sz w:val="24"/>
        </w:rPr>
      </w:pPr>
      <w:r>
        <w:rPr>
          <w:rFonts w:ascii="Times New Roman" w:hAnsi="Times New Roman"/>
          <w:color w:val="000000"/>
          <w:sz w:val="24"/>
          <w:highlight w:val="cyan"/>
        </w:rPr>
        <w:t xml:space="preserve">i) valsts lidojumderīguma prasības, ar kurām pamatots izsniegtais </w:t>
      </w:r>
      <w:r>
        <w:rPr>
          <w:rFonts w:ascii="Times New Roman" w:hAnsi="Times New Roman"/>
          <w:i/>
          <w:iCs/>
          <w:color w:val="000000"/>
          <w:sz w:val="24"/>
          <w:highlight w:val="cyan"/>
        </w:rPr>
        <w:t>CoA</w:t>
      </w:r>
      <w:r>
        <w:rPr>
          <w:rFonts w:ascii="Times New Roman" w:hAnsi="Times New Roman"/>
          <w:color w:val="000000"/>
          <w:sz w:val="24"/>
          <w:highlight w:val="cyan"/>
        </w:rPr>
        <w:t>;</w:t>
      </w:r>
    </w:p>
    <w:p w14:paraId="3CEE25BB" w14:textId="47990A3F" w:rsidR="0080159C" w:rsidRPr="00A11D5F" w:rsidRDefault="009D07ED" w:rsidP="00CB6667">
      <w:pPr>
        <w:ind w:left="851" w:hanging="284"/>
        <w:jc w:val="both"/>
        <w:rPr>
          <w:rFonts w:ascii="Times New Roman" w:hAnsi="Times New Roman"/>
          <w:noProof/>
          <w:color w:val="000000"/>
          <w:sz w:val="24"/>
        </w:rPr>
      </w:pPr>
      <w:r>
        <w:rPr>
          <w:rFonts w:ascii="Times New Roman" w:hAnsi="Times New Roman"/>
          <w:color w:val="000000"/>
          <w:sz w:val="24"/>
          <w:highlight w:val="cyan"/>
        </w:rPr>
        <w:t>ii) lidaparāta līdzība sertificētajam variantam;</w:t>
      </w:r>
    </w:p>
    <w:p w14:paraId="172A5605" w14:textId="46DA78B6" w:rsidR="0080159C" w:rsidRPr="00A11D5F" w:rsidRDefault="009D07ED" w:rsidP="00CB6667">
      <w:pPr>
        <w:ind w:left="851" w:hanging="284"/>
        <w:jc w:val="both"/>
        <w:rPr>
          <w:rFonts w:ascii="Times New Roman" w:hAnsi="Times New Roman"/>
          <w:noProof/>
          <w:color w:val="000000"/>
          <w:sz w:val="24"/>
        </w:rPr>
      </w:pPr>
      <w:r>
        <w:rPr>
          <w:rFonts w:ascii="Times New Roman" w:hAnsi="Times New Roman"/>
          <w:color w:val="000000"/>
          <w:sz w:val="24"/>
          <w:highlight w:val="cyan"/>
        </w:rPr>
        <w:t>iii) lidaparāts ar apmierinošu mācību lidaparāta ekspluatācijas pieredzi;</w:t>
      </w:r>
    </w:p>
    <w:p w14:paraId="4E32C48C" w14:textId="4FBFA4DE" w:rsidR="0080159C" w:rsidRPr="00A11D5F" w:rsidRDefault="009C3A66" w:rsidP="00CB6667">
      <w:pPr>
        <w:ind w:left="851" w:hanging="284"/>
        <w:jc w:val="both"/>
        <w:rPr>
          <w:rFonts w:ascii="Times New Roman" w:hAnsi="Times New Roman"/>
          <w:noProof/>
          <w:color w:val="000000"/>
          <w:sz w:val="24"/>
        </w:rPr>
      </w:pPr>
      <w:r>
        <w:rPr>
          <w:rFonts w:ascii="Times New Roman" w:hAnsi="Times New Roman"/>
          <w:color w:val="000000"/>
          <w:sz w:val="24"/>
          <w:highlight w:val="cyan"/>
        </w:rPr>
        <w:t>iv) vienkārša un parasta lidaparāta konstrukcija;</w:t>
      </w:r>
    </w:p>
    <w:p w14:paraId="0CAB1AAF" w14:textId="2543F495" w:rsidR="0080159C" w:rsidRPr="00A11D5F" w:rsidRDefault="004C0636" w:rsidP="00CB6667">
      <w:pPr>
        <w:ind w:left="851" w:hanging="284"/>
        <w:jc w:val="both"/>
        <w:rPr>
          <w:rFonts w:ascii="Times New Roman" w:hAnsi="Times New Roman"/>
          <w:noProof/>
          <w:color w:val="000000"/>
          <w:sz w:val="24"/>
        </w:rPr>
      </w:pPr>
      <w:r>
        <w:rPr>
          <w:rFonts w:ascii="Times New Roman" w:hAnsi="Times New Roman"/>
          <w:color w:val="000000"/>
          <w:sz w:val="24"/>
          <w:highlight w:val="cyan"/>
        </w:rPr>
        <w:t>v) lidaparāts, kam, kā liecina pieredze, nav bīstamu projekta parametru vai detaļu,</w:t>
      </w:r>
      <w:r>
        <w:rPr>
          <w:rFonts w:ascii="Times New Roman" w:hAnsi="Times New Roman"/>
          <w:color w:val="000000"/>
          <w:sz w:val="24"/>
        </w:rPr>
        <w:t xml:space="preserve"> </w:t>
      </w:r>
      <w:r>
        <w:rPr>
          <w:rFonts w:ascii="Times New Roman" w:hAnsi="Times New Roman"/>
          <w:color w:val="000000"/>
          <w:sz w:val="24"/>
          <w:highlight w:val="cyan"/>
        </w:rPr>
        <w:t>un</w:t>
      </w:r>
    </w:p>
    <w:p w14:paraId="1B2B6DAA" w14:textId="74EBBD42" w:rsidR="0080159C" w:rsidRDefault="004C0636" w:rsidP="00CB6667">
      <w:pPr>
        <w:ind w:left="851" w:hanging="284"/>
        <w:jc w:val="both"/>
        <w:rPr>
          <w:rFonts w:ascii="Times New Roman" w:hAnsi="Times New Roman"/>
          <w:noProof/>
          <w:color w:val="000000"/>
          <w:sz w:val="24"/>
        </w:rPr>
      </w:pPr>
      <w:r>
        <w:rPr>
          <w:rFonts w:ascii="Times New Roman" w:hAnsi="Times New Roman"/>
          <w:color w:val="000000"/>
          <w:sz w:val="24"/>
          <w:highlight w:val="cyan"/>
        </w:rPr>
        <w:t>vi) ekspluatējamas lidaparāta sistēmas, aprīkojums un ierīces, kuru izmantošanai nav vajadzīgas īpašas prasmes vai spēks.</w:t>
      </w:r>
    </w:p>
    <w:p w14:paraId="338F2771" w14:textId="77777777" w:rsidR="004C0636" w:rsidRPr="00A11D5F" w:rsidRDefault="004C0636" w:rsidP="00651B2B">
      <w:pPr>
        <w:jc w:val="both"/>
        <w:rPr>
          <w:rFonts w:ascii="Times New Roman" w:hAnsi="Times New Roman"/>
          <w:noProof/>
          <w:color w:val="000000"/>
          <w:sz w:val="24"/>
        </w:rPr>
      </w:pPr>
    </w:p>
    <w:p w14:paraId="6C1ACE2C" w14:textId="7425B6FE" w:rsidR="0080159C" w:rsidRDefault="00867CFE" w:rsidP="00CB6667">
      <w:pPr>
        <w:ind w:left="567" w:hanging="283"/>
        <w:jc w:val="both"/>
        <w:rPr>
          <w:rFonts w:ascii="Times New Roman" w:hAnsi="Times New Roman" w:cs="Times New Roman"/>
          <w:noProof/>
          <w:color w:val="000000"/>
          <w:sz w:val="24"/>
          <w:szCs w:val="24"/>
        </w:rPr>
      </w:pPr>
      <w:r>
        <w:rPr>
          <w:rFonts w:ascii="Times New Roman" w:hAnsi="Times New Roman"/>
          <w:color w:val="000000"/>
          <w:sz w:val="24"/>
          <w:highlight w:val="cyan"/>
        </w:rPr>
        <w:t>2) kvalificēta instruktora papildu novērtējums.</w:t>
      </w:r>
    </w:p>
    <w:p w14:paraId="6ABEF122" w14:textId="77777777" w:rsidR="00CB6667" w:rsidRPr="00867CFE" w:rsidRDefault="00CB6667" w:rsidP="00867CFE">
      <w:pPr>
        <w:jc w:val="both"/>
        <w:rPr>
          <w:rFonts w:ascii="Times New Roman" w:hAnsi="Times New Roman" w:cs="Times New Roman"/>
          <w:noProof/>
          <w:color w:val="000000"/>
          <w:sz w:val="24"/>
          <w:szCs w:val="24"/>
        </w:rPr>
      </w:pPr>
    </w:p>
    <w:p w14:paraId="0ED93EB6" w14:textId="7A3B96F6" w:rsidR="0080159C" w:rsidRDefault="0080159C" w:rsidP="00CB6667">
      <w:pPr>
        <w:pStyle w:val="BodyText"/>
        <w:ind w:left="567"/>
        <w:jc w:val="both"/>
        <w:rPr>
          <w:rFonts w:ascii="Times New Roman" w:hAnsi="Times New Roman"/>
          <w:noProof/>
          <w:color w:val="000000"/>
          <w:sz w:val="24"/>
        </w:rPr>
      </w:pPr>
      <w:r>
        <w:rPr>
          <w:rFonts w:ascii="Times New Roman" w:hAnsi="Times New Roman"/>
          <w:color w:val="000000"/>
          <w:sz w:val="24"/>
          <w:highlight w:val="cyan"/>
        </w:rPr>
        <w:t xml:space="preserve">Lai papildinātu novērtēšanas procesu, ko veic kompetentā iestāde, un sniegtu kompetentajai iestādei pietiekamus datus par attiecīgo lidaparātu, pēc pozitīva sākotnējā novērtējuma, ko kompetentā iestāde veikusi saskaņā ar 1) apakšpunktu, instruktoram, kurš kvalificēts saskaņā ar </w:t>
      </w:r>
      <w:r>
        <w:rPr>
          <w:rFonts w:ascii="Times New Roman" w:hAnsi="Times New Roman"/>
          <w:i/>
          <w:iCs/>
          <w:color w:val="000000"/>
          <w:sz w:val="24"/>
          <w:highlight w:val="cyan"/>
        </w:rPr>
        <w:t>FCL</w:t>
      </w:r>
      <w:r>
        <w:rPr>
          <w:rFonts w:ascii="Times New Roman" w:hAnsi="Times New Roman"/>
          <w:color w:val="000000"/>
          <w:sz w:val="24"/>
          <w:highlight w:val="cyan"/>
        </w:rPr>
        <w:t xml:space="preserve"> daļu un kuru iecēlis </w:t>
      </w:r>
      <w:r>
        <w:rPr>
          <w:rFonts w:ascii="Times New Roman" w:hAnsi="Times New Roman"/>
          <w:i/>
          <w:iCs/>
          <w:color w:val="000000"/>
          <w:sz w:val="24"/>
          <w:highlight w:val="cyan"/>
        </w:rPr>
        <w:t>DTO</w:t>
      </w:r>
      <w:r>
        <w:rPr>
          <w:rFonts w:ascii="Times New Roman" w:hAnsi="Times New Roman"/>
          <w:color w:val="000000"/>
          <w:sz w:val="24"/>
          <w:highlight w:val="cyan"/>
        </w:rPr>
        <w:t xml:space="preserve"> mācību kursa vadītājs, novērtējuma ziņojumā jāapliecina, ka lidaparāts ir atbilstīgi aprīkots un piemērots paredzētajiem mācību kursiem. Minētajā novērtējuma ziņojumā jāvērtē atbilstība visiem tālāk uzskaitītajiem kritērijiem:</w:t>
      </w:r>
    </w:p>
    <w:p w14:paraId="433BA5B8" w14:textId="77777777" w:rsidR="00CB6667" w:rsidRPr="00A11D5F" w:rsidRDefault="00CB6667" w:rsidP="00CB6667">
      <w:pPr>
        <w:pStyle w:val="BodyText"/>
        <w:ind w:left="0"/>
        <w:jc w:val="both"/>
        <w:rPr>
          <w:rFonts w:ascii="Times New Roman" w:hAnsi="Times New Roman"/>
          <w:noProof/>
          <w:color w:val="000000"/>
          <w:sz w:val="24"/>
        </w:rPr>
      </w:pPr>
    </w:p>
    <w:p w14:paraId="3F47946C" w14:textId="13D303EC" w:rsidR="0080159C" w:rsidRPr="00982908" w:rsidRDefault="00CB6667" w:rsidP="00982908">
      <w:pPr>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lastRenderedPageBreak/>
        <w:t>i) lidaparātam jābūt droši vadāmam un manevrējamam visos paredzamajos ekspluatācijas apstākļos, arī pēc vienas vai vairāku dzinējsistēmu atteices;</w:t>
      </w:r>
    </w:p>
    <w:p w14:paraId="3815D7F0" w14:textId="555C1162" w:rsidR="0080159C" w:rsidRPr="00982908" w:rsidRDefault="00CB6667" w:rsidP="00982908">
      <w:pPr>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ii) lidaparātam visos iespējamos ekspluatācijas apstākļos jāspēj nodrošināt vienmērīgu pāreju no vienas lidojuma fāzes nākamajā, neizmantojot īpašas pilotēšanas prasmes, modrību, spēku vai darba slodzi;</w:t>
      </w:r>
    </w:p>
    <w:p w14:paraId="3909F0D3" w14:textId="00A6E0A2" w:rsidR="0080159C" w:rsidRPr="00982908" w:rsidRDefault="00CB6667" w:rsidP="00982908">
      <w:pPr>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iii) lidaparātam jābūt pietiekami stabilam, lai nodrošinātu, ka pilotam izvirzītās prasības nav pārmērīgas, ņemot vērā lidojuma fāzi un ilgumu, un</w:t>
      </w:r>
    </w:p>
    <w:p w14:paraId="4D6891F0" w14:textId="70890C2F" w:rsidR="0080159C" w:rsidRDefault="00982908" w:rsidP="00982908">
      <w:pPr>
        <w:ind w:left="851" w:hanging="284"/>
        <w:jc w:val="both"/>
        <w:rPr>
          <w:rFonts w:ascii="Times New Roman" w:hAnsi="Times New Roman"/>
          <w:noProof/>
          <w:color w:val="000000"/>
          <w:sz w:val="24"/>
        </w:rPr>
      </w:pPr>
      <w:r>
        <w:rPr>
          <w:rFonts w:ascii="Times New Roman" w:hAnsi="Times New Roman"/>
          <w:color w:val="000000"/>
          <w:sz w:val="24"/>
          <w:highlight w:val="cyan"/>
        </w:rPr>
        <w:t>iv) novērtējumā jāņem vērā vadāmie spēki, pilotu kabīnes vide un citi ar cilvēka faktoriem (</w:t>
      </w:r>
      <w:r>
        <w:rPr>
          <w:rFonts w:ascii="Times New Roman" w:hAnsi="Times New Roman"/>
          <w:i/>
          <w:iCs/>
          <w:color w:val="000000"/>
          <w:sz w:val="24"/>
          <w:highlight w:val="cyan"/>
        </w:rPr>
        <w:t>HF</w:t>
      </w:r>
      <w:r>
        <w:rPr>
          <w:rFonts w:ascii="Times New Roman" w:hAnsi="Times New Roman"/>
          <w:color w:val="000000"/>
          <w:sz w:val="24"/>
          <w:highlight w:val="cyan"/>
        </w:rPr>
        <w:t>) saistīti apsvērumi, ņemot vērā lidojuma fāzi un ilgumu.</w:t>
      </w:r>
    </w:p>
    <w:p w14:paraId="67A8E9D9" w14:textId="77777777" w:rsidR="00982908" w:rsidRPr="00A11D5F" w:rsidRDefault="00982908" w:rsidP="00651B2B">
      <w:pPr>
        <w:jc w:val="both"/>
        <w:rPr>
          <w:rFonts w:ascii="Times New Roman" w:hAnsi="Times New Roman"/>
          <w:noProof/>
          <w:color w:val="000000"/>
          <w:sz w:val="24"/>
        </w:rPr>
      </w:pPr>
    </w:p>
    <w:p w14:paraId="3FB3825F" w14:textId="77777777" w:rsidR="0080159C" w:rsidRPr="00A11D5F" w:rsidRDefault="0080159C" w:rsidP="00982908">
      <w:pPr>
        <w:tabs>
          <w:tab w:val="left" w:pos="426"/>
        </w:tabs>
        <w:ind w:left="567"/>
        <w:jc w:val="both"/>
        <w:rPr>
          <w:rFonts w:ascii="Times New Roman" w:hAnsi="Times New Roman"/>
          <w:noProof/>
          <w:color w:val="000000"/>
          <w:sz w:val="24"/>
        </w:rPr>
      </w:pPr>
      <w:r>
        <w:rPr>
          <w:rFonts w:ascii="Times New Roman" w:hAnsi="Times New Roman"/>
          <w:color w:val="000000"/>
          <w:sz w:val="24"/>
          <w:highlight w:val="cyan"/>
        </w:rPr>
        <w:t>Pēc pozitīva novērtējuma ziņojuma saskaņā ar 2) apakšpunktu kompetentajai iestādei jāizdod atļauja.</w:t>
      </w:r>
    </w:p>
    <w:sectPr w:rsidR="0080159C" w:rsidRPr="00A11D5F" w:rsidSect="00DD12F6">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C4011" w14:textId="77777777" w:rsidR="001160ED" w:rsidRPr="0080159C" w:rsidRDefault="001160ED">
      <w:pPr>
        <w:rPr>
          <w:noProof/>
        </w:rPr>
      </w:pPr>
      <w:r w:rsidRPr="0080159C">
        <w:rPr>
          <w:noProof/>
        </w:rPr>
        <w:separator/>
      </w:r>
    </w:p>
  </w:endnote>
  <w:endnote w:type="continuationSeparator" w:id="0">
    <w:p w14:paraId="155197F7" w14:textId="77777777" w:rsidR="001160ED" w:rsidRPr="0080159C" w:rsidRDefault="001160ED">
      <w:pPr>
        <w:rPr>
          <w:noProof/>
        </w:rPr>
      </w:pPr>
      <w:r w:rsidRPr="0080159C">
        <w:rPr>
          <w:noProof/>
        </w:rPr>
        <w:continuationSeparator/>
      </w:r>
    </w:p>
  </w:endnote>
  <w:endnote w:type="continuationNotice" w:id="1">
    <w:p w14:paraId="7FFB4B5F" w14:textId="77777777" w:rsidR="001160ED" w:rsidRDefault="00116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B795D" w14:textId="77777777" w:rsidR="00F575DC" w:rsidRPr="009C04EC" w:rsidRDefault="00F575DC" w:rsidP="00F575DC">
    <w:pPr>
      <w:pStyle w:val="Header"/>
      <w:tabs>
        <w:tab w:val="left" w:pos="9072"/>
      </w:tabs>
      <w:rPr>
        <w:rStyle w:val="PageNumber"/>
        <w:rFonts w:ascii="Times New Roman" w:hAnsi="Times New Roman" w:cs="Times New Roman"/>
        <w:noProof/>
        <w:u w:val="single"/>
        <w:lang w:val="en-US"/>
      </w:rPr>
    </w:pPr>
  </w:p>
  <w:p w14:paraId="518BC7C4" w14:textId="77777777" w:rsidR="00F575DC" w:rsidRPr="009C04EC" w:rsidRDefault="00F575DC" w:rsidP="00F575DC">
    <w:pPr>
      <w:pStyle w:val="Header"/>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7A7B8217" w14:textId="77777777" w:rsidR="00F575DC" w:rsidRPr="009C04EC" w:rsidRDefault="00F575DC" w:rsidP="00F575DC">
    <w:pPr>
      <w:pStyle w:val="Header"/>
      <w:tabs>
        <w:tab w:val="right" w:pos="9072"/>
      </w:tabs>
      <w:rPr>
        <w:rStyle w:val="PageNumber"/>
        <w:rFonts w:ascii="Times New Roman" w:hAnsi="Times New Roman" w:cs="Times New Roman"/>
        <w:noProof/>
        <w:u w:val="single"/>
        <w:lang w:val="en-US"/>
      </w:rPr>
    </w:pPr>
  </w:p>
  <w:p w14:paraId="5DDA89E2" w14:textId="2A1BF4CB" w:rsidR="00DE25C5" w:rsidRPr="00F575DC" w:rsidRDefault="00F575DC" w:rsidP="00F575DC">
    <w:pPr>
      <w:pStyle w:val="Footer"/>
      <w:tabs>
        <w:tab w:val="clear" w:pos="4513"/>
        <w:tab w:val="center" w:pos="9072"/>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r w:rsidRPr="009C04EC">
      <w:rPr>
        <w:rFonts w:ascii="Times New Roman" w:hAnsi="Times New Roman" w:cs="Times New Roman"/>
        <w:noProof/>
        <w:lang w:val="en-US"/>
      </w:rPr>
      <w:tab/>
    </w:r>
    <w:r w:rsidRPr="009C04EC">
      <w:rPr>
        <w:rStyle w:val="PageNumber"/>
        <w:rFonts w:ascii="Times New Roman" w:hAnsi="Times New Roman" w:cs="Times New Roman"/>
        <w:noProof/>
        <w:lang w:val="en-US"/>
      </w:rPr>
      <w:fldChar w:fldCharType="begin"/>
    </w:r>
    <w:r w:rsidRPr="009C04EC">
      <w:rPr>
        <w:rStyle w:val="PageNumber"/>
        <w:rFonts w:ascii="Times New Roman" w:hAnsi="Times New Roman" w:cs="Times New Roman"/>
        <w:noProof/>
        <w:lang w:val="en-US"/>
      </w:rPr>
      <w:instrText xml:space="preserve">page </w:instrText>
    </w:r>
    <w:r w:rsidRPr="009C04EC">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9C04EC">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2204" w14:textId="77777777" w:rsidR="00556C96" w:rsidRPr="009C04EC" w:rsidRDefault="00556C96" w:rsidP="00556C96">
    <w:pPr>
      <w:pStyle w:val="Header"/>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0931F17C" w14:textId="77777777" w:rsidR="00556C96" w:rsidRPr="009C04EC" w:rsidRDefault="00556C96" w:rsidP="00556C96">
    <w:pPr>
      <w:pStyle w:val="Header"/>
      <w:tabs>
        <w:tab w:val="left" w:pos="9072"/>
      </w:tabs>
      <w:rPr>
        <w:rStyle w:val="PageNumber"/>
        <w:rFonts w:ascii="Times New Roman" w:hAnsi="Times New Roman" w:cs="Times New Roman"/>
        <w:noProof/>
        <w:u w:val="single"/>
        <w:lang w:val="en-US"/>
      </w:rPr>
    </w:pPr>
  </w:p>
  <w:p w14:paraId="6A14C6B5" w14:textId="448C32CC" w:rsidR="0080159C" w:rsidRPr="00556C96" w:rsidRDefault="00556C96">
    <w:pPr>
      <w:pStyle w:val="Footer"/>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07E89" w14:textId="77777777" w:rsidR="001160ED" w:rsidRPr="0080159C" w:rsidRDefault="001160ED">
      <w:pPr>
        <w:rPr>
          <w:noProof/>
        </w:rPr>
      </w:pPr>
      <w:r w:rsidRPr="0080159C">
        <w:rPr>
          <w:noProof/>
        </w:rPr>
        <w:separator/>
      </w:r>
    </w:p>
  </w:footnote>
  <w:footnote w:type="continuationSeparator" w:id="0">
    <w:p w14:paraId="672032C1" w14:textId="77777777" w:rsidR="001160ED" w:rsidRPr="0080159C" w:rsidRDefault="001160ED">
      <w:pPr>
        <w:rPr>
          <w:noProof/>
        </w:rPr>
      </w:pPr>
      <w:r w:rsidRPr="0080159C">
        <w:rPr>
          <w:noProof/>
        </w:rPr>
        <w:continuationSeparator/>
      </w:r>
    </w:p>
  </w:footnote>
  <w:footnote w:type="continuationNotice" w:id="1">
    <w:p w14:paraId="39D57DE8" w14:textId="77777777" w:rsidR="001160ED" w:rsidRDefault="00116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CD18A" w14:textId="77777777" w:rsidR="00777F9E" w:rsidRPr="009C04EC" w:rsidRDefault="00777F9E" w:rsidP="00777F9E">
    <w:pPr>
      <w:pStyle w:val="Header"/>
      <w:rPr>
        <w:rStyle w:val="PageNumber"/>
        <w:noProof/>
        <w:sz w:val="18"/>
        <w:szCs w:val="18"/>
        <w:u w:val="single"/>
        <w:lang w:val="en-US"/>
      </w:rPr>
    </w:pPr>
  </w:p>
  <w:p w14:paraId="36BF6217" w14:textId="77777777" w:rsidR="00777F9E" w:rsidRPr="009C04EC" w:rsidRDefault="00777F9E" w:rsidP="00777F9E">
    <w:pPr>
      <w:pStyle w:val="Header"/>
      <w:tabs>
        <w:tab w:val="clear" w:pos="4513"/>
        <w:tab w:val="center" w:pos="9072"/>
      </w:tabs>
      <w:rPr>
        <w:noProof/>
        <w:sz w:val="18"/>
        <w:szCs w:val="18"/>
        <w:u w:val="single"/>
        <w:lang w:val="en-US"/>
      </w:rPr>
    </w:pPr>
    <w:r w:rsidRPr="009C04EC">
      <w:rPr>
        <w:noProof/>
        <w:sz w:val="18"/>
        <w:szCs w:val="18"/>
        <w:u w:val="single"/>
        <w:lang w:val="en-US"/>
      </w:rPr>
      <w:tab/>
    </w:r>
  </w:p>
  <w:p w14:paraId="5DDA89E1" w14:textId="6E1378FD" w:rsidR="00DE25C5" w:rsidRPr="00556C96" w:rsidRDefault="00DE25C5" w:rsidP="00556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1EC7E" w14:textId="77777777" w:rsidR="00E625C2" w:rsidRPr="009C04EC" w:rsidRDefault="00E625C2" w:rsidP="00E625C2">
    <w:pPr>
      <w:pStyle w:val="Header"/>
      <w:pBdr>
        <w:bottom w:val="single" w:sz="12" w:space="1" w:color="auto"/>
      </w:pBdr>
      <w:rPr>
        <w:noProof/>
        <w:sz w:val="18"/>
        <w:szCs w:val="18"/>
        <w:lang w:val="en-US"/>
      </w:rPr>
    </w:pPr>
  </w:p>
  <w:p w14:paraId="06AA9510" w14:textId="77777777" w:rsidR="00E625C2" w:rsidRDefault="00E625C2" w:rsidP="00E6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E450D"/>
    <w:multiLevelType w:val="hybridMultilevel"/>
    <w:tmpl w:val="93B4F77A"/>
    <w:lvl w:ilvl="0" w:tplc="886AE6A2">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76B6A07A">
      <w:start w:val="1"/>
      <w:numFmt w:val="decimal"/>
      <w:lvlText w:val="(%2)"/>
      <w:lvlJc w:val="left"/>
      <w:pPr>
        <w:ind w:left="1273" w:hanging="567"/>
        <w:jc w:val="left"/>
      </w:pPr>
      <w:rPr>
        <w:rFonts w:hint="default"/>
        <w:spacing w:val="0"/>
        <w:w w:val="100"/>
        <w:lang w:val="en-US" w:eastAsia="en-US" w:bidi="ar-SA"/>
      </w:rPr>
    </w:lvl>
    <w:lvl w:ilvl="2" w:tplc="11D8CC58">
      <w:start w:val="1"/>
      <w:numFmt w:val="lowerRoman"/>
      <w:lvlText w:val="(%3)"/>
      <w:lvlJc w:val="left"/>
      <w:pPr>
        <w:ind w:left="1842"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3" w:tplc="D9924BCC">
      <w:numFmt w:val="bullet"/>
      <w:lvlText w:val="•"/>
      <w:lvlJc w:val="left"/>
      <w:pPr>
        <w:ind w:left="2773" w:hanging="569"/>
      </w:pPr>
      <w:rPr>
        <w:rFonts w:hint="default"/>
        <w:lang w:val="en-US" w:eastAsia="en-US" w:bidi="ar-SA"/>
      </w:rPr>
    </w:lvl>
    <w:lvl w:ilvl="4" w:tplc="3C06289A">
      <w:numFmt w:val="bullet"/>
      <w:lvlText w:val="•"/>
      <w:lvlJc w:val="left"/>
      <w:pPr>
        <w:ind w:left="3706" w:hanging="569"/>
      </w:pPr>
      <w:rPr>
        <w:rFonts w:hint="default"/>
        <w:lang w:val="en-US" w:eastAsia="en-US" w:bidi="ar-SA"/>
      </w:rPr>
    </w:lvl>
    <w:lvl w:ilvl="5" w:tplc="F39C465C">
      <w:numFmt w:val="bullet"/>
      <w:lvlText w:val="•"/>
      <w:lvlJc w:val="left"/>
      <w:pPr>
        <w:ind w:left="4639" w:hanging="569"/>
      </w:pPr>
      <w:rPr>
        <w:rFonts w:hint="default"/>
        <w:lang w:val="en-US" w:eastAsia="en-US" w:bidi="ar-SA"/>
      </w:rPr>
    </w:lvl>
    <w:lvl w:ilvl="6" w:tplc="C488224A">
      <w:numFmt w:val="bullet"/>
      <w:lvlText w:val="•"/>
      <w:lvlJc w:val="left"/>
      <w:pPr>
        <w:ind w:left="5573" w:hanging="569"/>
      </w:pPr>
      <w:rPr>
        <w:rFonts w:hint="default"/>
        <w:lang w:val="en-US" w:eastAsia="en-US" w:bidi="ar-SA"/>
      </w:rPr>
    </w:lvl>
    <w:lvl w:ilvl="7" w:tplc="E0941732">
      <w:numFmt w:val="bullet"/>
      <w:lvlText w:val="•"/>
      <w:lvlJc w:val="left"/>
      <w:pPr>
        <w:ind w:left="6506" w:hanging="569"/>
      </w:pPr>
      <w:rPr>
        <w:rFonts w:hint="default"/>
        <w:lang w:val="en-US" w:eastAsia="en-US" w:bidi="ar-SA"/>
      </w:rPr>
    </w:lvl>
    <w:lvl w:ilvl="8" w:tplc="583662EE">
      <w:numFmt w:val="bullet"/>
      <w:lvlText w:val="•"/>
      <w:lvlJc w:val="left"/>
      <w:pPr>
        <w:ind w:left="7439" w:hanging="569"/>
      </w:pPr>
      <w:rPr>
        <w:rFonts w:hint="default"/>
        <w:lang w:val="en-US" w:eastAsia="en-US" w:bidi="ar-SA"/>
      </w:rPr>
    </w:lvl>
  </w:abstractNum>
  <w:abstractNum w:abstractNumId="1" w15:restartNumberingAfterBreak="0">
    <w:nsid w:val="6B114669"/>
    <w:multiLevelType w:val="hybridMultilevel"/>
    <w:tmpl w:val="CEDC6D0E"/>
    <w:lvl w:ilvl="0" w:tplc="184C94CC">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E64E018A">
      <w:numFmt w:val="bullet"/>
      <w:lvlText w:val="•"/>
      <w:lvlJc w:val="left"/>
      <w:pPr>
        <w:ind w:left="1560" w:hanging="567"/>
      </w:pPr>
      <w:rPr>
        <w:rFonts w:hint="default"/>
        <w:lang w:val="en-US" w:eastAsia="en-US" w:bidi="ar-SA"/>
      </w:rPr>
    </w:lvl>
    <w:lvl w:ilvl="2" w:tplc="7B96BD84">
      <w:numFmt w:val="bullet"/>
      <w:lvlText w:val="•"/>
      <w:lvlJc w:val="left"/>
      <w:pPr>
        <w:ind w:left="2421" w:hanging="567"/>
      </w:pPr>
      <w:rPr>
        <w:rFonts w:hint="default"/>
        <w:lang w:val="en-US" w:eastAsia="en-US" w:bidi="ar-SA"/>
      </w:rPr>
    </w:lvl>
    <w:lvl w:ilvl="3" w:tplc="F6E8D0DE">
      <w:numFmt w:val="bullet"/>
      <w:lvlText w:val="•"/>
      <w:lvlJc w:val="left"/>
      <w:pPr>
        <w:ind w:left="3281" w:hanging="567"/>
      </w:pPr>
      <w:rPr>
        <w:rFonts w:hint="default"/>
        <w:lang w:val="en-US" w:eastAsia="en-US" w:bidi="ar-SA"/>
      </w:rPr>
    </w:lvl>
    <w:lvl w:ilvl="4" w:tplc="61627832">
      <w:numFmt w:val="bullet"/>
      <w:lvlText w:val="•"/>
      <w:lvlJc w:val="left"/>
      <w:pPr>
        <w:ind w:left="4142" w:hanging="567"/>
      </w:pPr>
      <w:rPr>
        <w:rFonts w:hint="default"/>
        <w:lang w:val="en-US" w:eastAsia="en-US" w:bidi="ar-SA"/>
      </w:rPr>
    </w:lvl>
    <w:lvl w:ilvl="5" w:tplc="B5F064BA">
      <w:numFmt w:val="bullet"/>
      <w:lvlText w:val="•"/>
      <w:lvlJc w:val="left"/>
      <w:pPr>
        <w:ind w:left="5003" w:hanging="567"/>
      </w:pPr>
      <w:rPr>
        <w:rFonts w:hint="default"/>
        <w:lang w:val="en-US" w:eastAsia="en-US" w:bidi="ar-SA"/>
      </w:rPr>
    </w:lvl>
    <w:lvl w:ilvl="6" w:tplc="C0CE3022">
      <w:numFmt w:val="bullet"/>
      <w:lvlText w:val="•"/>
      <w:lvlJc w:val="left"/>
      <w:pPr>
        <w:ind w:left="5863" w:hanging="567"/>
      </w:pPr>
      <w:rPr>
        <w:rFonts w:hint="default"/>
        <w:lang w:val="en-US" w:eastAsia="en-US" w:bidi="ar-SA"/>
      </w:rPr>
    </w:lvl>
    <w:lvl w:ilvl="7" w:tplc="D45C4C88">
      <w:numFmt w:val="bullet"/>
      <w:lvlText w:val="•"/>
      <w:lvlJc w:val="left"/>
      <w:pPr>
        <w:ind w:left="6724" w:hanging="567"/>
      </w:pPr>
      <w:rPr>
        <w:rFonts w:hint="default"/>
        <w:lang w:val="en-US" w:eastAsia="en-US" w:bidi="ar-SA"/>
      </w:rPr>
    </w:lvl>
    <w:lvl w:ilvl="8" w:tplc="6F50D048">
      <w:numFmt w:val="bullet"/>
      <w:lvlText w:val="•"/>
      <w:lvlJc w:val="left"/>
      <w:pPr>
        <w:ind w:left="7585" w:hanging="567"/>
      </w:pPr>
      <w:rPr>
        <w:rFonts w:hint="default"/>
        <w:lang w:val="en-US" w:eastAsia="en-US" w:bidi="ar-SA"/>
      </w:rPr>
    </w:lvl>
  </w:abstractNum>
  <w:num w:numId="1" w16cid:durableId="1365985174">
    <w:abstractNumId w:val="0"/>
  </w:num>
  <w:num w:numId="2" w16cid:durableId="161266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E25C5"/>
    <w:rsid w:val="0001206A"/>
    <w:rsid w:val="001160ED"/>
    <w:rsid w:val="001A738A"/>
    <w:rsid w:val="001D1369"/>
    <w:rsid w:val="002916A0"/>
    <w:rsid w:val="00345CA5"/>
    <w:rsid w:val="004C0636"/>
    <w:rsid w:val="00556C96"/>
    <w:rsid w:val="00651B2B"/>
    <w:rsid w:val="00661672"/>
    <w:rsid w:val="006A2B9B"/>
    <w:rsid w:val="00777F9E"/>
    <w:rsid w:val="0080159C"/>
    <w:rsid w:val="00867CFE"/>
    <w:rsid w:val="009178A0"/>
    <w:rsid w:val="00982908"/>
    <w:rsid w:val="009C3A66"/>
    <w:rsid w:val="009D07ED"/>
    <w:rsid w:val="009E556A"/>
    <w:rsid w:val="00A11D5F"/>
    <w:rsid w:val="00A36A0D"/>
    <w:rsid w:val="00A40A2B"/>
    <w:rsid w:val="00AC5D47"/>
    <w:rsid w:val="00B517A4"/>
    <w:rsid w:val="00C26EF9"/>
    <w:rsid w:val="00CB6667"/>
    <w:rsid w:val="00D368EE"/>
    <w:rsid w:val="00DB384E"/>
    <w:rsid w:val="00DD12F6"/>
    <w:rsid w:val="00DE25C5"/>
    <w:rsid w:val="00E07BA8"/>
    <w:rsid w:val="00E15970"/>
    <w:rsid w:val="00E53955"/>
    <w:rsid w:val="00E625C2"/>
    <w:rsid w:val="00EE72AA"/>
    <w:rsid w:val="00EF4DEB"/>
    <w:rsid w:val="00F343E3"/>
    <w:rsid w:val="00F5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A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3"/>
    </w:pPr>
  </w:style>
  <w:style w:type="paragraph" w:styleId="ListParagraph">
    <w:name w:val="List Paragraph"/>
    <w:basedOn w:val="Normal"/>
    <w:uiPriority w:val="1"/>
    <w:qFormat/>
    <w:pPr>
      <w:spacing w:before="161"/>
      <w:ind w:left="1842" w:hanging="569"/>
    </w:pPr>
  </w:style>
  <w:style w:type="paragraph" w:customStyle="1" w:styleId="TableParagraph">
    <w:name w:val="Table Paragraph"/>
    <w:basedOn w:val="Normal"/>
    <w:uiPriority w:val="1"/>
    <w:qFormat/>
  </w:style>
  <w:style w:type="paragraph" w:styleId="Header">
    <w:name w:val="header"/>
    <w:basedOn w:val="Normal"/>
    <w:link w:val="HeaderChar"/>
    <w:unhideWhenUsed/>
    <w:rsid w:val="0080159C"/>
    <w:pPr>
      <w:tabs>
        <w:tab w:val="center" w:pos="4513"/>
        <w:tab w:val="right" w:pos="9026"/>
      </w:tabs>
    </w:pPr>
  </w:style>
  <w:style w:type="character" w:customStyle="1" w:styleId="HeaderChar">
    <w:name w:val="Header Char"/>
    <w:basedOn w:val="DefaultParagraphFont"/>
    <w:link w:val="Header"/>
    <w:rsid w:val="0080159C"/>
    <w:rPr>
      <w:rFonts w:ascii="Calibri" w:eastAsia="Calibri" w:hAnsi="Calibri" w:cs="Calibri"/>
    </w:rPr>
  </w:style>
  <w:style w:type="paragraph" w:styleId="Footer">
    <w:name w:val="footer"/>
    <w:basedOn w:val="Normal"/>
    <w:link w:val="FooterChar"/>
    <w:unhideWhenUsed/>
    <w:rsid w:val="0080159C"/>
    <w:pPr>
      <w:tabs>
        <w:tab w:val="center" w:pos="4513"/>
        <w:tab w:val="right" w:pos="9026"/>
      </w:tabs>
    </w:pPr>
  </w:style>
  <w:style w:type="character" w:customStyle="1" w:styleId="FooterChar">
    <w:name w:val="Footer Char"/>
    <w:basedOn w:val="DefaultParagraphFont"/>
    <w:link w:val="Footer"/>
    <w:rsid w:val="0080159C"/>
    <w:rPr>
      <w:rFonts w:ascii="Calibri" w:eastAsia="Calibri" w:hAnsi="Calibri" w:cs="Calibri"/>
    </w:rPr>
  </w:style>
  <w:style w:type="character" w:styleId="PageNumber">
    <w:name w:val="page number"/>
    <w:basedOn w:val="DefaultParagraphFont"/>
    <w:semiHidden/>
    <w:rsid w:val="0055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3BA29-C556-4685-91F7-699F93E8FC5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BCBEE462-A44D-41D8-97AF-FBD8E555F6BE}">
  <ds:schemaRefs>
    <ds:schemaRef ds:uri="http://schemas.microsoft.com/sharepoint/v3/contenttype/forms"/>
  </ds:schemaRefs>
</ds:datastoreItem>
</file>

<file path=customXml/itemProps3.xml><?xml version="1.0" encoding="utf-8"?>
<ds:datastoreItem xmlns:ds="http://schemas.openxmlformats.org/officeDocument/2006/customXml" ds:itemID="{CC375328-44C8-4772-8370-AFC5C4B5DC42}"/>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2024-04-22T08:46:00Z</dcterms:created>
  <dcterms:modified xsi:type="dcterms:W3CDTF">2024-09-20T06:51:00Z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