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931A6" w14:textId="60DCF6FD" w:rsidR="00662C42" w:rsidRPr="00AE781F" w:rsidRDefault="00662C42" w:rsidP="00AE781F">
      <w:pPr>
        <w:ind w:left="2694" w:right="2129"/>
        <w:jc w:val="center"/>
        <w:rPr>
          <w:rFonts w:ascii="Times New Roman" w:hAnsi="Times New Roman"/>
          <w:i/>
          <w:noProof/>
        </w:rPr>
      </w:pPr>
      <w:r>
        <w:rPr>
          <w:rFonts w:ascii="Times New Roman" w:hAnsi="Times New Roman"/>
          <w:i/>
          <w:noProof/>
        </w:rPr>
        <w:drawing>
          <wp:anchor distT="0" distB="0" distL="0" distR="0" simplePos="0" relativeHeight="251658240" behindDoc="0" locked="0" layoutInCell="1" allowOverlap="1" wp14:anchorId="68113EA4" wp14:editId="5117AFA4">
            <wp:simplePos x="0" y="0"/>
            <wp:positionH relativeFrom="page">
              <wp:posOffset>1057275</wp:posOffset>
            </wp:positionH>
            <wp:positionV relativeFrom="paragraph">
              <wp:posOffset>7620</wp:posOffset>
            </wp:positionV>
            <wp:extent cx="1266825" cy="39705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66825" cy="397052"/>
                    </a:xfrm>
                    <a:prstGeom prst="rect">
                      <a:avLst/>
                    </a:prstGeom>
                  </pic:spPr>
                </pic:pic>
              </a:graphicData>
            </a:graphic>
          </wp:anchor>
        </w:drawing>
      </w:r>
      <w:r>
        <w:rPr>
          <w:rFonts w:ascii="Times New Roman" w:hAnsi="Times New Roman"/>
          <w:i/>
        </w:rPr>
        <w:t>Pieņemami atbilstības nodrošināšanas līdzekļi (</w:t>
      </w:r>
      <w:r>
        <w:rPr>
          <w:rFonts w:ascii="Times New Roman" w:hAnsi="Times New Roman"/>
          <w:i/>
          <w:iCs/>
        </w:rPr>
        <w:t>AMC</w:t>
      </w:r>
      <w:r>
        <w:rPr>
          <w:rFonts w:ascii="Times New Roman" w:hAnsi="Times New Roman"/>
          <w:i/>
        </w:rPr>
        <w:t>) un vadlīnijas (</w:t>
      </w:r>
      <w:r>
        <w:rPr>
          <w:rFonts w:ascii="Times New Roman" w:hAnsi="Times New Roman"/>
          <w:i/>
          <w:iCs/>
        </w:rPr>
        <w:t>GM</w:t>
      </w:r>
      <w:r>
        <w:rPr>
          <w:rFonts w:ascii="Times New Roman" w:hAnsi="Times New Roman"/>
          <w:i/>
        </w:rPr>
        <w:t>) attiecībā uz lidlauku pārvaldību, organizāciju un ekspluatācijas prasībām</w:t>
      </w:r>
    </w:p>
    <w:p w14:paraId="36D2912F" w14:textId="77777777" w:rsidR="00662C42" w:rsidRPr="00AE781F" w:rsidRDefault="00662C42" w:rsidP="00AE781F">
      <w:pPr>
        <w:ind w:left="2552" w:right="2412" w:firstLine="425"/>
        <w:jc w:val="center"/>
        <w:rPr>
          <w:rFonts w:ascii="Times New Roman" w:hAnsi="Times New Roman"/>
          <w:i/>
          <w:noProof/>
        </w:rPr>
      </w:pPr>
      <w:r>
        <w:rPr>
          <w:rFonts w:ascii="Times New Roman" w:hAnsi="Times New Roman"/>
          <w:i/>
        </w:rPr>
        <w:t>1. izdevums, 11. grozījums</w:t>
      </w:r>
    </w:p>
    <w:p w14:paraId="155D6747" w14:textId="77777777" w:rsidR="00662C42" w:rsidRPr="00AE781F" w:rsidRDefault="00662C42" w:rsidP="00AE781F">
      <w:pPr>
        <w:pStyle w:val="BodyText"/>
        <w:jc w:val="both"/>
        <w:rPr>
          <w:rFonts w:ascii="Times New Roman" w:hAnsi="Times New Roman"/>
          <w:i/>
          <w:noProof/>
          <w:sz w:val="24"/>
        </w:rPr>
      </w:pPr>
    </w:p>
    <w:p w14:paraId="3B4FC27E" w14:textId="77777777" w:rsidR="00662C42" w:rsidRPr="00AE781F" w:rsidRDefault="00662C42" w:rsidP="00AE781F">
      <w:pPr>
        <w:pStyle w:val="BodyText"/>
        <w:jc w:val="both"/>
        <w:rPr>
          <w:rFonts w:ascii="Times New Roman" w:hAnsi="Times New Roman"/>
          <w:i/>
          <w:noProof/>
          <w:sz w:val="24"/>
        </w:rPr>
      </w:pPr>
    </w:p>
    <w:p w14:paraId="28038FD0" w14:textId="7DC5B116" w:rsidR="00AE781F" w:rsidRPr="00AE781F" w:rsidRDefault="00662C42" w:rsidP="00AE781F">
      <w:pPr>
        <w:jc w:val="center"/>
        <w:rPr>
          <w:rFonts w:ascii="Times New Roman" w:hAnsi="Times New Roman"/>
          <w:b/>
          <w:noProof/>
          <w:sz w:val="28"/>
          <w:szCs w:val="24"/>
        </w:rPr>
      </w:pPr>
      <w:r>
        <w:rPr>
          <w:rFonts w:ascii="Times New Roman" w:hAnsi="Times New Roman"/>
          <w:b/>
          <w:sz w:val="28"/>
        </w:rPr>
        <w:t>Pieņemami atbilstības nodrošināšanas līdzekļi (</w:t>
      </w:r>
      <w:r>
        <w:rPr>
          <w:rFonts w:ascii="Times New Roman" w:hAnsi="Times New Roman"/>
          <w:b/>
          <w:i/>
          <w:iCs/>
          <w:sz w:val="28"/>
        </w:rPr>
        <w:t>AMC</w:t>
      </w:r>
      <w:r>
        <w:rPr>
          <w:rFonts w:ascii="Times New Roman" w:hAnsi="Times New Roman"/>
          <w:b/>
          <w:sz w:val="28"/>
        </w:rPr>
        <w:t>) un vadlīnijas (</w:t>
      </w:r>
      <w:r>
        <w:rPr>
          <w:rFonts w:ascii="Times New Roman" w:hAnsi="Times New Roman"/>
          <w:b/>
          <w:i/>
          <w:iCs/>
          <w:sz w:val="28"/>
        </w:rPr>
        <w:t>GM</w:t>
      </w:r>
      <w:r>
        <w:rPr>
          <w:rFonts w:ascii="Times New Roman" w:hAnsi="Times New Roman"/>
          <w:b/>
          <w:sz w:val="28"/>
        </w:rPr>
        <w:t>) attiecībā uz lidlauku pārvaldību, organizāciju un ekspluatācijas prasībām</w:t>
      </w:r>
    </w:p>
    <w:p w14:paraId="3C1FDCA8" w14:textId="77777777" w:rsidR="00AE781F" w:rsidRPr="00AE781F" w:rsidRDefault="00AE781F" w:rsidP="00AE781F">
      <w:pPr>
        <w:jc w:val="center"/>
        <w:rPr>
          <w:rFonts w:ascii="Times New Roman" w:hAnsi="Times New Roman"/>
          <w:b/>
          <w:noProof/>
          <w:sz w:val="28"/>
          <w:szCs w:val="24"/>
        </w:rPr>
      </w:pPr>
    </w:p>
    <w:p w14:paraId="5F2F43B8" w14:textId="2BB0E3CC" w:rsidR="00662C42" w:rsidRPr="00AE781F" w:rsidRDefault="00662C42" w:rsidP="00AE781F">
      <w:pPr>
        <w:jc w:val="center"/>
        <w:rPr>
          <w:rFonts w:ascii="Times New Roman" w:hAnsi="Times New Roman"/>
          <w:b/>
          <w:noProof/>
          <w:sz w:val="28"/>
          <w:szCs w:val="24"/>
        </w:rPr>
      </w:pPr>
      <w:r>
        <w:rPr>
          <w:rFonts w:ascii="Times New Roman" w:hAnsi="Times New Roman"/>
          <w:b/>
          <w:sz w:val="28"/>
        </w:rPr>
        <w:t>1. izdevums, 11. grozījums</w:t>
      </w:r>
    </w:p>
    <w:p w14:paraId="3345DF8F" w14:textId="77777777" w:rsidR="00662C42" w:rsidRPr="00AE781F" w:rsidRDefault="00662C42" w:rsidP="00AE781F">
      <w:pPr>
        <w:pStyle w:val="BodyText"/>
        <w:jc w:val="both"/>
        <w:rPr>
          <w:rFonts w:ascii="Times New Roman" w:hAnsi="Times New Roman"/>
          <w:b/>
          <w:noProof/>
          <w:sz w:val="24"/>
        </w:rPr>
      </w:pPr>
    </w:p>
    <w:p w14:paraId="1A9E3224" w14:textId="77777777" w:rsidR="00662C42" w:rsidRPr="00AE781F" w:rsidRDefault="00662C42" w:rsidP="00AE781F">
      <w:pPr>
        <w:pStyle w:val="BodyText"/>
        <w:jc w:val="both"/>
        <w:rPr>
          <w:rFonts w:ascii="Times New Roman" w:hAnsi="Times New Roman"/>
          <w:b/>
          <w:noProof/>
          <w:sz w:val="24"/>
        </w:rPr>
      </w:pPr>
    </w:p>
    <w:p w14:paraId="41F6439A" w14:textId="77777777" w:rsidR="00662C42" w:rsidRPr="00AE781F" w:rsidRDefault="00662C42" w:rsidP="00AE781F">
      <w:pPr>
        <w:jc w:val="center"/>
        <w:rPr>
          <w:rFonts w:ascii="Times New Roman" w:hAnsi="Times New Roman"/>
          <w:b/>
          <w:noProof/>
          <w:sz w:val="24"/>
        </w:rPr>
      </w:pPr>
      <w:r>
        <w:rPr>
          <w:rFonts w:ascii="Times New Roman" w:hAnsi="Times New Roman"/>
          <w:b/>
          <w:i/>
          <w:iCs/>
          <w:sz w:val="24"/>
        </w:rPr>
        <w:t>ED</w:t>
      </w:r>
      <w:r>
        <w:rPr>
          <w:rFonts w:ascii="Times New Roman" w:hAnsi="Times New Roman"/>
          <w:b/>
          <w:sz w:val="24"/>
        </w:rPr>
        <w:t> Lēmuma 2024/008/R pielikums</w:t>
      </w:r>
    </w:p>
    <w:p w14:paraId="1F8C5173" w14:textId="77777777" w:rsidR="00662C42" w:rsidRPr="00AE781F" w:rsidRDefault="00662C42" w:rsidP="00AE781F">
      <w:pPr>
        <w:pStyle w:val="BodyText"/>
        <w:jc w:val="both"/>
        <w:rPr>
          <w:rFonts w:ascii="Times New Roman" w:hAnsi="Times New Roman"/>
          <w:b/>
          <w:noProof/>
          <w:sz w:val="24"/>
        </w:rPr>
      </w:pPr>
    </w:p>
    <w:p w14:paraId="4759071F" w14:textId="77777777" w:rsidR="00AE781F" w:rsidRPr="00AE781F" w:rsidRDefault="00662C42" w:rsidP="00AE781F">
      <w:pPr>
        <w:jc w:val="center"/>
        <w:rPr>
          <w:rFonts w:ascii="Times New Roman" w:hAnsi="Times New Roman"/>
          <w:b/>
          <w:noProof/>
          <w:sz w:val="24"/>
        </w:rPr>
      </w:pPr>
      <w:r>
        <w:rPr>
          <w:rFonts w:ascii="Times New Roman" w:hAnsi="Times New Roman"/>
          <w:b/>
          <w:sz w:val="24"/>
        </w:rPr>
        <w:t>Pieņemami atbilstības nodrošināšanas līdzekļi un vadlīnijas attiecībā uz lidlaukiem</w:t>
      </w:r>
    </w:p>
    <w:p w14:paraId="7F2C9213" w14:textId="77777777" w:rsidR="00AE781F" w:rsidRPr="00AE781F" w:rsidRDefault="00AE781F" w:rsidP="00AE781F">
      <w:pPr>
        <w:jc w:val="center"/>
        <w:rPr>
          <w:rFonts w:ascii="Times New Roman" w:hAnsi="Times New Roman"/>
          <w:b/>
          <w:noProof/>
          <w:sz w:val="24"/>
        </w:rPr>
      </w:pPr>
    </w:p>
    <w:p w14:paraId="651D6ED5" w14:textId="3D72FBA4" w:rsidR="00662C42" w:rsidRPr="00AE781F" w:rsidRDefault="00662C42" w:rsidP="00AE781F">
      <w:pPr>
        <w:jc w:val="center"/>
        <w:rPr>
          <w:rFonts w:ascii="Times New Roman" w:hAnsi="Times New Roman"/>
          <w:b/>
          <w:noProof/>
          <w:sz w:val="24"/>
        </w:rPr>
      </w:pPr>
      <w:r>
        <w:rPr>
          <w:rFonts w:ascii="Times New Roman" w:hAnsi="Times New Roman"/>
          <w:b/>
          <w:sz w:val="24"/>
        </w:rPr>
        <w:t>1. izdevums, 11. grozījums</w:t>
      </w:r>
    </w:p>
    <w:p w14:paraId="3531DB37" w14:textId="77777777" w:rsidR="00662C42" w:rsidRPr="00AE781F" w:rsidRDefault="00662C42" w:rsidP="00AE781F">
      <w:pPr>
        <w:pStyle w:val="BodyText"/>
        <w:jc w:val="both"/>
        <w:rPr>
          <w:rFonts w:ascii="Times New Roman" w:hAnsi="Times New Roman"/>
          <w:b/>
          <w:noProof/>
          <w:sz w:val="24"/>
        </w:rPr>
      </w:pPr>
    </w:p>
    <w:p w14:paraId="54B38DCB" w14:textId="77777777" w:rsidR="00662C42" w:rsidRPr="00AE781F" w:rsidRDefault="00662C42" w:rsidP="00AE781F">
      <w:pPr>
        <w:pStyle w:val="BodyText"/>
        <w:jc w:val="both"/>
        <w:rPr>
          <w:rFonts w:ascii="Times New Roman" w:hAnsi="Times New Roman"/>
          <w:noProof/>
          <w:sz w:val="24"/>
        </w:rPr>
      </w:pPr>
      <w:r>
        <w:rPr>
          <w:rFonts w:ascii="Times New Roman" w:hAnsi="Times New Roman"/>
          <w:sz w:val="24"/>
        </w:rPr>
        <w:t>Šajā pielikumā svītrotais, jaunais vai grozītais teksts ir attēlots šādi:</w:t>
      </w:r>
    </w:p>
    <w:p w14:paraId="07538329" w14:textId="622CA6B3" w:rsidR="00662C42" w:rsidRPr="00AE781F" w:rsidRDefault="00662C42" w:rsidP="00AE781F">
      <w:pPr>
        <w:pStyle w:val="ListParagraph"/>
        <w:numPr>
          <w:ilvl w:val="0"/>
          <w:numId w:val="4"/>
        </w:numPr>
        <w:tabs>
          <w:tab w:val="left" w:pos="426"/>
        </w:tabs>
        <w:ind w:hanging="720"/>
        <w:rPr>
          <w:rFonts w:ascii="Times New Roman" w:hAnsi="Times New Roman"/>
          <w:noProof/>
          <w:sz w:val="24"/>
        </w:rPr>
      </w:pPr>
      <w:r>
        <w:rPr>
          <w:rFonts w:ascii="Times New Roman" w:hAnsi="Times New Roman"/>
          <w:sz w:val="24"/>
        </w:rPr>
        <w:t xml:space="preserve">svītrotais teksts ir </w:t>
      </w:r>
      <w:r>
        <w:rPr>
          <w:rFonts w:ascii="Times New Roman" w:hAnsi="Times New Roman"/>
          <w:strike/>
          <w:color w:val="FF0000"/>
          <w:sz w:val="24"/>
        </w:rPr>
        <w:t>pārsvītrots</w:t>
      </w:r>
      <w:r>
        <w:rPr>
          <w:rFonts w:ascii="Times New Roman" w:hAnsi="Times New Roman"/>
          <w:sz w:val="24"/>
        </w:rPr>
        <w:t>;</w:t>
      </w:r>
    </w:p>
    <w:p w14:paraId="5F6A55D3" w14:textId="77777777" w:rsidR="00AE781F" w:rsidRPr="00AE781F" w:rsidRDefault="00AE781F" w:rsidP="00AE781F">
      <w:pPr>
        <w:pStyle w:val="ListParagraph"/>
        <w:tabs>
          <w:tab w:val="left" w:pos="426"/>
        </w:tabs>
        <w:spacing w:before="0"/>
        <w:ind w:left="0" w:hanging="720"/>
        <w:rPr>
          <w:rFonts w:ascii="Times New Roman" w:hAnsi="Times New Roman"/>
          <w:noProof/>
          <w:sz w:val="24"/>
        </w:rPr>
      </w:pPr>
    </w:p>
    <w:p w14:paraId="29DB6A47" w14:textId="462B553D" w:rsidR="00662C42" w:rsidRPr="00AE781F" w:rsidRDefault="00662C42" w:rsidP="00AE781F">
      <w:pPr>
        <w:pStyle w:val="ListParagraph"/>
        <w:numPr>
          <w:ilvl w:val="0"/>
          <w:numId w:val="4"/>
        </w:numPr>
        <w:tabs>
          <w:tab w:val="left" w:pos="426"/>
        </w:tabs>
        <w:spacing w:before="0"/>
        <w:ind w:hanging="720"/>
        <w:rPr>
          <w:rFonts w:ascii="Times New Roman" w:hAnsi="Times New Roman"/>
          <w:noProof/>
          <w:sz w:val="24"/>
        </w:rPr>
      </w:pPr>
      <w:r>
        <w:rPr>
          <w:rFonts w:ascii="Times New Roman" w:hAnsi="Times New Roman"/>
          <w:sz w:val="24"/>
        </w:rPr>
        <w:t xml:space="preserve">jaunais vai grozītais teksts ir iekrāsots </w:t>
      </w:r>
      <w:r>
        <w:rPr>
          <w:rFonts w:ascii="Times New Roman" w:hAnsi="Times New Roman"/>
          <w:sz w:val="24"/>
          <w:shd w:val="clear" w:color="auto" w:fill="00FFFF"/>
        </w:rPr>
        <w:t>zilā</w:t>
      </w:r>
      <w:r>
        <w:rPr>
          <w:rFonts w:ascii="Times New Roman" w:hAnsi="Times New Roman"/>
          <w:sz w:val="24"/>
        </w:rPr>
        <w:t xml:space="preserve"> krāsā;</w:t>
      </w:r>
    </w:p>
    <w:p w14:paraId="69E7CD5C" w14:textId="77777777" w:rsidR="00AE781F" w:rsidRPr="00AE781F" w:rsidRDefault="00AE781F" w:rsidP="00AE781F">
      <w:pPr>
        <w:pStyle w:val="ListParagraph"/>
        <w:tabs>
          <w:tab w:val="left" w:pos="426"/>
        </w:tabs>
        <w:spacing w:before="0"/>
        <w:ind w:left="0" w:hanging="720"/>
        <w:rPr>
          <w:rFonts w:ascii="Times New Roman" w:hAnsi="Times New Roman"/>
          <w:noProof/>
          <w:sz w:val="24"/>
        </w:rPr>
      </w:pPr>
    </w:p>
    <w:p w14:paraId="6188E9FA" w14:textId="33F85208" w:rsidR="00662C42" w:rsidRPr="00AE781F" w:rsidRDefault="00662C42" w:rsidP="00AE781F">
      <w:pPr>
        <w:pStyle w:val="ListParagraph"/>
        <w:numPr>
          <w:ilvl w:val="0"/>
          <w:numId w:val="4"/>
        </w:numPr>
        <w:tabs>
          <w:tab w:val="left" w:pos="426"/>
        </w:tabs>
        <w:spacing w:before="0"/>
        <w:ind w:hanging="720"/>
        <w:rPr>
          <w:rFonts w:ascii="Times New Roman" w:hAnsi="Times New Roman"/>
          <w:noProof/>
          <w:sz w:val="24"/>
        </w:rPr>
      </w:pPr>
      <w:r>
        <w:rPr>
          <w:rFonts w:ascii="Times New Roman" w:hAnsi="Times New Roman"/>
          <w:sz w:val="24"/>
        </w:rPr>
        <w:t>divpunkte “(..)” norāda, ka pārējais teksts nav grozīts.</w:t>
      </w:r>
    </w:p>
    <w:p w14:paraId="5C8500E6" w14:textId="77777777" w:rsidR="00662C42" w:rsidRPr="00AE781F" w:rsidRDefault="00662C42" w:rsidP="00AE781F">
      <w:pPr>
        <w:pStyle w:val="BodyText"/>
        <w:jc w:val="both"/>
        <w:rPr>
          <w:rFonts w:ascii="Times New Roman" w:hAnsi="Times New Roman"/>
          <w:noProof/>
          <w:sz w:val="24"/>
        </w:rPr>
      </w:pPr>
    </w:p>
    <w:p w14:paraId="758052AA" w14:textId="77777777" w:rsidR="00662C42" w:rsidRPr="00AE781F" w:rsidRDefault="00662C42" w:rsidP="00AE781F">
      <w:pPr>
        <w:pStyle w:val="BodyText"/>
        <w:jc w:val="both"/>
        <w:rPr>
          <w:rFonts w:ascii="Times New Roman" w:hAnsi="Times New Roman"/>
          <w:noProof/>
          <w:sz w:val="24"/>
        </w:rPr>
      </w:pPr>
    </w:p>
    <w:p w14:paraId="56F03F2A" w14:textId="77777777" w:rsidR="00662C42" w:rsidRPr="00AE781F" w:rsidRDefault="00662C42" w:rsidP="00AE781F">
      <w:pPr>
        <w:pStyle w:val="BodyText"/>
        <w:jc w:val="both"/>
        <w:rPr>
          <w:rFonts w:ascii="Times New Roman" w:hAnsi="Times New Roman"/>
          <w:noProof/>
          <w:sz w:val="24"/>
        </w:rPr>
      </w:pPr>
    </w:p>
    <w:p w14:paraId="59B40E64" w14:textId="77777777" w:rsidR="00662C42" w:rsidRPr="00AE781F" w:rsidRDefault="00662C42" w:rsidP="00AE781F">
      <w:pPr>
        <w:pStyle w:val="BodyText"/>
        <w:jc w:val="both"/>
        <w:rPr>
          <w:rFonts w:ascii="Times New Roman" w:hAnsi="Times New Roman"/>
          <w:noProof/>
          <w:sz w:val="24"/>
        </w:rPr>
      </w:pPr>
    </w:p>
    <w:p w14:paraId="6B98EDE3" w14:textId="77777777" w:rsidR="00662C42" w:rsidRPr="00AE781F" w:rsidRDefault="00662C42" w:rsidP="00AE781F">
      <w:pPr>
        <w:pStyle w:val="BodyText"/>
        <w:jc w:val="both"/>
        <w:rPr>
          <w:rFonts w:ascii="Times New Roman" w:hAnsi="Times New Roman"/>
          <w:noProof/>
          <w:sz w:val="24"/>
        </w:rPr>
      </w:pPr>
    </w:p>
    <w:p w14:paraId="64EB1C51" w14:textId="77777777" w:rsidR="00662C42" w:rsidRPr="00AE781F" w:rsidRDefault="00662C42" w:rsidP="00AE781F">
      <w:pPr>
        <w:pStyle w:val="BodyText"/>
        <w:jc w:val="both"/>
        <w:rPr>
          <w:rFonts w:ascii="Times New Roman" w:hAnsi="Times New Roman"/>
          <w:noProof/>
          <w:sz w:val="24"/>
        </w:rPr>
      </w:pPr>
    </w:p>
    <w:p w14:paraId="2AAA3D33" w14:textId="77777777" w:rsidR="00662C42" w:rsidRPr="00AE781F" w:rsidRDefault="00662C42" w:rsidP="00AE781F">
      <w:pPr>
        <w:pStyle w:val="BodyText"/>
        <w:jc w:val="both"/>
        <w:rPr>
          <w:rFonts w:ascii="Times New Roman" w:hAnsi="Times New Roman"/>
          <w:noProof/>
          <w:sz w:val="24"/>
        </w:rPr>
      </w:pPr>
    </w:p>
    <w:p w14:paraId="5FFA84F9" w14:textId="77777777" w:rsidR="00662C42" w:rsidRPr="00AE781F" w:rsidRDefault="00662C42" w:rsidP="00AE781F">
      <w:pPr>
        <w:pStyle w:val="BodyText"/>
        <w:jc w:val="both"/>
        <w:rPr>
          <w:rFonts w:ascii="Times New Roman" w:hAnsi="Times New Roman"/>
          <w:noProof/>
          <w:sz w:val="24"/>
        </w:rPr>
      </w:pPr>
    </w:p>
    <w:p w14:paraId="28CC2E2F" w14:textId="77777777" w:rsidR="00662C42" w:rsidRPr="00AE781F" w:rsidRDefault="00662C42" w:rsidP="00AE781F">
      <w:pPr>
        <w:pStyle w:val="BodyText"/>
        <w:jc w:val="both"/>
        <w:rPr>
          <w:rFonts w:ascii="Times New Roman" w:hAnsi="Times New Roman"/>
          <w:noProof/>
          <w:sz w:val="24"/>
        </w:rPr>
      </w:pPr>
    </w:p>
    <w:p w14:paraId="3C147FDD" w14:textId="77777777" w:rsidR="00662C42" w:rsidRPr="00AE781F" w:rsidRDefault="00662C42" w:rsidP="00AE781F">
      <w:pPr>
        <w:pStyle w:val="BodyText"/>
        <w:jc w:val="both"/>
        <w:rPr>
          <w:rFonts w:ascii="Times New Roman" w:hAnsi="Times New Roman"/>
          <w:noProof/>
          <w:sz w:val="24"/>
        </w:rPr>
      </w:pPr>
    </w:p>
    <w:p w14:paraId="797A235D" w14:textId="77777777" w:rsidR="00662C42" w:rsidRPr="00AE781F" w:rsidRDefault="00662C42" w:rsidP="00AE781F">
      <w:pPr>
        <w:pStyle w:val="BodyText"/>
        <w:jc w:val="both"/>
        <w:rPr>
          <w:rFonts w:ascii="Times New Roman" w:hAnsi="Times New Roman"/>
          <w:noProof/>
          <w:sz w:val="24"/>
        </w:rPr>
      </w:pPr>
    </w:p>
    <w:p w14:paraId="5DAB9E12" w14:textId="77777777" w:rsidR="00662C42" w:rsidRPr="00AE781F" w:rsidRDefault="00662C42" w:rsidP="00AE781F">
      <w:pPr>
        <w:pStyle w:val="BodyText"/>
        <w:jc w:val="both"/>
        <w:rPr>
          <w:rFonts w:ascii="Times New Roman" w:hAnsi="Times New Roman"/>
          <w:noProof/>
          <w:sz w:val="24"/>
        </w:rPr>
      </w:pPr>
    </w:p>
    <w:p w14:paraId="1BDBF8F9" w14:textId="77777777" w:rsidR="00662C42" w:rsidRPr="00AE781F" w:rsidRDefault="00662C42" w:rsidP="00AE781F">
      <w:pPr>
        <w:pStyle w:val="BodyText"/>
        <w:jc w:val="both"/>
        <w:rPr>
          <w:rFonts w:ascii="Times New Roman" w:hAnsi="Times New Roman"/>
          <w:noProof/>
          <w:sz w:val="24"/>
        </w:rPr>
      </w:pPr>
    </w:p>
    <w:p w14:paraId="60EB3987" w14:textId="77777777" w:rsidR="00662C42" w:rsidRPr="00AE781F" w:rsidRDefault="00662C42" w:rsidP="00AE781F">
      <w:pPr>
        <w:pStyle w:val="BodyText"/>
        <w:jc w:val="both"/>
        <w:rPr>
          <w:rFonts w:ascii="Times New Roman" w:hAnsi="Times New Roman"/>
          <w:noProof/>
          <w:sz w:val="24"/>
        </w:rPr>
      </w:pPr>
    </w:p>
    <w:p w14:paraId="3B0ADE6A" w14:textId="77777777" w:rsidR="00662C42" w:rsidRPr="00AE781F" w:rsidRDefault="00662C42" w:rsidP="00AE781F">
      <w:pPr>
        <w:pStyle w:val="BodyText"/>
        <w:jc w:val="both"/>
        <w:rPr>
          <w:rFonts w:ascii="Times New Roman" w:hAnsi="Times New Roman"/>
          <w:noProof/>
          <w:sz w:val="24"/>
        </w:rPr>
      </w:pPr>
    </w:p>
    <w:p w14:paraId="2B035157" w14:textId="77777777" w:rsidR="00662C42" w:rsidRPr="00AE781F" w:rsidRDefault="00662C42" w:rsidP="00AE781F">
      <w:pPr>
        <w:pStyle w:val="BodyText"/>
        <w:jc w:val="both"/>
        <w:rPr>
          <w:rFonts w:ascii="Times New Roman" w:hAnsi="Times New Roman"/>
          <w:noProof/>
          <w:sz w:val="24"/>
        </w:rPr>
      </w:pPr>
    </w:p>
    <w:p w14:paraId="39543F5D" w14:textId="77777777" w:rsidR="00662C42" w:rsidRPr="00AE781F" w:rsidRDefault="00662C42" w:rsidP="00AE781F">
      <w:pPr>
        <w:pStyle w:val="BodyText"/>
        <w:jc w:val="both"/>
        <w:rPr>
          <w:rFonts w:ascii="Times New Roman" w:hAnsi="Times New Roman"/>
          <w:noProof/>
          <w:sz w:val="24"/>
        </w:rPr>
      </w:pPr>
    </w:p>
    <w:p w14:paraId="700F9492" w14:textId="77777777" w:rsidR="00662C42" w:rsidRPr="00AE781F" w:rsidRDefault="00662C42" w:rsidP="00AE781F">
      <w:pPr>
        <w:jc w:val="both"/>
        <w:rPr>
          <w:rFonts w:ascii="Times New Roman" w:hAnsi="Times New Roman"/>
          <w:b/>
          <w:i/>
          <w:noProof/>
          <w:szCs w:val="20"/>
        </w:rPr>
      </w:pPr>
      <w:r>
        <w:rPr>
          <w:rFonts w:ascii="Times New Roman" w:hAnsi="Times New Roman"/>
          <w:b/>
          <w:i/>
        </w:rPr>
        <w:t>Piezīme lasītājam</w:t>
      </w:r>
    </w:p>
    <w:p w14:paraId="38086E64" w14:textId="73E79BD9" w:rsidR="00AE781F" w:rsidRPr="00AE781F" w:rsidRDefault="00662C42" w:rsidP="00AE781F">
      <w:pPr>
        <w:jc w:val="both"/>
        <w:rPr>
          <w:rFonts w:ascii="Times New Roman" w:hAnsi="Times New Roman"/>
          <w:i/>
          <w:noProof/>
          <w:szCs w:val="20"/>
        </w:rPr>
      </w:pPr>
      <w:r>
        <w:rPr>
          <w:rFonts w:ascii="Times New Roman" w:hAnsi="Times New Roman"/>
          <w:i/>
        </w:rPr>
        <w:t xml:space="preserve">Grozītajā un jo īpaši esošajā (proti, nemainītajā) tekstā termini </w:t>
      </w:r>
      <w:r>
        <w:rPr>
          <w:rFonts w:ascii="Times New Roman" w:hAnsi="Times New Roman"/>
        </w:rPr>
        <w:t xml:space="preserve">“aģentūra” </w:t>
      </w:r>
      <w:r>
        <w:rPr>
          <w:rFonts w:ascii="Times New Roman" w:hAnsi="Times New Roman"/>
          <w:i/>
        </w:rPr>
        <w:t xml:space="preserve">un </w:t>
      </w:r>
      <w:r>
        <w:rPr>
          <w:rFonts w:ascii="Times New Roman" w:hAnsi="Times New Roman"/>
        </w:rPr>
        <w:t>“</w:t>
      </w:r>
      <w:r>
        <w:rPr>
          <w:rFonts w:ascii="Times New Roman" w:hAnsi="Times New Roman"/>
          <w:i/>
          <w:iCs/>
        </w:rPr>
        <w:t>EASA</w:t>
      </w:r>
      <w:r>
        <w:rPr>
          <w:rFonts w:ascii="Times New Roman" w:hAnsi="Times New Roman"/>
        </w:rPr>
        <w:t>”</w:t>
      </w:r>
      <w:r>
        <w:rPr>
          <w:rFonts w:ascii="Times New Roman" w:hAnsi="Times New Roman"/>
          <w:i/>
        </w:rPr>
        <w:t xml:space="preserve"> ir savstarpēji aizvietojami. Šo abu terminu pamīšais lietojums ir izteiktāks konsolidētajās redakcijās. Tāpēc lūdzam ņemt vērā, ka abi termini attiecas uz </w:t>
      </w:r>
      <w:r>
        <w:rPr>
          <w:rFonts w:ascii="Times New Roman" w:hAnsi="Times New Roman"/>
        </w:rPr>
        <w:t>“Eiropas Aviācijas drošības aģentūru (</w:t>
      </w:r>
      <w:r>
        <w:rPr>
          <w:rFonts w:ascii="Times New Roman" w:hAnsi="Times New Roman"/>
          <w:i/>
          <w:iCs/>
        </w:rPr>
        <w:t>EASA</w:t>
      </w:r>
      <w:r>
        <w:rPr>
          <w:rFonts w:ascii="Times New Roman" w:hAnsi="Times New Roman"/>
        </w:rPr>
        <w:t>)”</w:t>
      </w:r>
      <w:r>
        <w:rPr>
          <w:rFonts w:ascii="Times New Roman" w:hAnsi="Times New Roman"/>
          <w:i/>
        </w:rPr>
        <w:t>.</w:t>
      </w:r>
    </w:p>
    <w:p w14:paraId="1752BFBB" w14:textId="77777777" w:rsidR="00AE781F" w:rsidRPr="00AE781F" w:rsidRDefault="00AE781F">
      <w:pPr>
        <w:rPr>
          <w:rFonts w:ascii="Times New Roman" w:hAnsi="Times New Roman"/>
          <w:i/>
          <w:noProof/>
          <w:sz w:val="24"/>
        </w:rPr>
      </w:pPr>
      <w:r>
        <w:br w:type="page"/>
      </w:r>
    </w:p>
    <w:p w14:paraId="6A8AE981" w14:textId="77777777" w:rsidR="00662C42" w:rsidRPr="00AE781F" w:rsidRDefault="00662C42" w:rsidP="00AE781F">
      <w:pPr>
        <w:pStyle w:val="BodyText"/>
        <w:jc w:val="both"/>
        <w:rPr>
          <w:rFonts w:ascii="Times New Roman" w:hAnsi="Times New Roman"/>
          <w:noProof/>
          <w:sz w:val="24"/>
        </w:rPr>
      </w:pPr>
      <w:r>
        <w:rPr>
          <w:rFonts w:ascii="Times New Roman" w:hAnsi="Times New Roman"/>
          <w:sz w:val="24"/>
        </w:rPr>
        <w:lastRenderedPageBreak/>
        <w:t>Aģentūras izpilddirektora 2014. gada 27. februāra</w:t>
      </w:r>
      <w:r>
        <w:rPr>
          <w:rFonts w:ascii="Times New Roman" w:hAnsi="Times New Roman"/>
          <w:i/>
          <w:iCs/>
          <w:sz w:val="24"/>
        </w:rPr>
        <w:t xml:space="preserve"> ED</w:t>
      </w:r>
      <w:r>
        <w:rPr>
          <w:rFonts w:ascii="Times New Roman" w:hAnsi="Times New Roman"/>
          <w:sz w:val="24"/>
        </w:rPr>
        <w:t xml:space="preserve"> Lēmuma 2014/012/R pielikumu groza, kā norādīts turpmāk.</w:t>
      </w:r>
    </w:p>
    <w:p w14:paraId="6E2CF9C3" w14:textId="77777777" w:rsidR="00662C42" w:rsidRPr="00AE781F" w:rsidRDefault="00662C42" w:rsidP="00AE781F">
      <w:pPr>
        <w:pStyle w:val="BodyText"/>
        <w:jc w:val="both"/>
        <w:rPr>
          <w:rFonts w:ascii="Times New Roman" w:hAnsi="Times New Roman"/>
          <w:noProof/>
          <w:sz w:val="24"/>
        </w:rPr>
      </w:pPr>
    </w:p>
    <w:p w14:paraId="4E76B05D" w14:textId="5B52B552" w:rsidR="00662C42" w:rsidRPr="00AE781F" w:rsidRDefault="00662C42" w:rsidP="00AE781F">
      <w:pPr>
        <w:shd w:val="clear" w:color="auto" w:fill="FFC000"/>
        <w:tabs>
          <w:tab w:val="left" w:pos="9197"/>
        </w:tabs>
        <w:jc w:val="both"/>
        <w:rPr>
          <w:rFonts w:ascii="Times New Roman" w:hAnsi="Times New Roman"/>
          <w:b/>
          <w:noProof/>
          <w:color w:val="FFFFFF"/>
          <w:sz w:val="28"/>
          <w:szCs w:val="28"/>
          <w:shd w:val="clear" w:color="auto" w:fill="FABB39"/>
        </w:rPr>
      </w:pPr>
      <w:bookmarkStart w:id="0" w:name="AMC1_ADR.OPS.B.031(b)(4)_Communications"/>
      <w:bookmarkEnd w:id="0"/>
      <w:r>
        <w:rPr>
          <w:rFonts w:ascii="Times New Roman" w:hAnsi="Times New Roman"/>
          <w:b/>
          <w:color w:val="FFFFFF"/>
          <w:sz w:val="28"/>
          <w:shd w:val="clear" w:color="auto" w:fill="FABB39"/>
        </w:rPr>
        <w:t>AMC1 par ADR.OPS.B.031. punkta “Sakari” b) apakšpunkta 4. daļu</w:t>
      </w:r>
    </w:p>
    <w:p w14:paraId="3A58C9CF" w14:textId="77777777" w:rsidR="00662C42" w:rsidRPr="00AE781F" w:rsidRDefault="00662C42" w:rsidP="00AE781F">
      <w:pPr>
        <w:jc w:val="both"/>
        <w:rPr>
          <w:rFonts w:ascii="Times New Roman" w:hAnsi="Times New Roman"/>
          <w:b/>
          <w:noProof/>
          <w:sz w:val="24"/>
        </w:rPr>
      </w:pPr>
      <w:r>
        <w:rPr>
          <w:rFonts w:ascii="Times New Roman" w:hAnsi="Times New Roman"/>
          <w:b/>
          <w:sz w:val="24"/>
        </w:rPr>
        <w:t>RADIOSAKARU ATTEICE</w:t>
      </w:r>
    </w:p>
    <w:p w14:paraId="6505C954" w14:textId="77777777" w:rsidR="00AE781F" w:rsidRPr="00AE781F" w:rsidRDefault="00AE781F" w:rsidP="00AE781F">
      <w:pPr>
        <w:jc w:val="both"/>
        <w:rPr>
          <w:rFonts w:ascii="Times New Roman" w:hAnsi="Times New Roman"/>
          <w:b/>
          <w:noProof/>
          <w:sz w:val="24"/>
        </w:rPr>
      </w:pPr>
    </w:p>
    <w:p w14:paraId="6C6EE6EB" w14:textId="297604F7" w:rsidR="00AE781F" w:rsidRPr="00AE781F" w:rsidRDefault="00AE781F" w:rsidP="00AE781F">
      <w:pPr>
        <w:pStyle w:val="ListParagraph"/>
        <w:spacing w:before="0"/>
        <w:ind w:left="567" w:hanging="567"/>
        <w:rPr>
          <w:rFonts w:ascii="Times New Roman" w:hAnsi="Times New Roman"/>
          <w:strike/>
          <w:noProof/>
          <w:color w:val="FF0000"/>
          <w:sz w:val="24"/>
        </w:rPr>
      </w:pPr>
      <w:r>
        <w:rPr>
          <w:rFonts w:ascii="Times New Roman" w:hAnsi="Times New Roman"/>
          <w:strike/>
          <w:color w:val="FF0000"/>
          <w:sz w:val="24"/>
        </w:rPr>
        <w:t>a) Signāliem, kas jāizmanto radiosakaru atteices gadījumā starp gaisa satiksmes vadības dienestiem un transportlīdzekļiem vai gājējiem, kuriem atļauts darboties manevrēšanas teritorijā, ir jābūt tādai nozīmei, kāda minēta turpmāk.</w:t>
      </w:r>
    </w:p>
    <w:p w14:paraId="0DC12D83" w14:textId="28AA5146" w:rsidR="00AE781F" w:rsidRPr="00AE781F" w:rsidRDefault="00AE781F" w:rsidP="00AE781F">
      <w:pPr>
        <w:pStyle w:val="ListParagraph"/>
        <w:tabs>
          <w:tab w:val="left" w:pos="708"/>
        </w:tabs>
        <w:spacing w:before="0"/>
        <w:ind w:left="426" w:hanging="426"/>
        <w:rPr>
          <w:rFonts w:ascii="Times New Roman" w:hAnsi="Times New Roman"/>
          <w:strike/>
          <w:noProof/>
          <w:color w:val="FF0000"/>
          <w:sz w:val="24"/>
        </w:rPr>
      </w:pPr>
    </w:p>
    <w:tbl>
      <w:tblPr>
        <w:tblStyle w:val="TableGrid"/>
        <w:tblW w:w="4597" w:type="pct"/>
        <w:tblInd w:w="737" w:type="dxa"/>
        <w:tblBorders>
          <w:top w:val="single" w:sz="24" w:space="0" w:color="FFFFFF" w:themeColor="background1"/>
          <w:left w:val="none" w:sz="0" w:space="0" w:color="auto"/>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28" w:type="dxa"/>
          <w:left w:w="28" w:type="dxa"/>
          <w:bottom w:w="28" w:type="dxa"/>
          <w:right w:w="28" w:type="dxa"/>
        </w:tblCellMar>
        <w:tblLook w:val="04A0" w:firstRow="1" w:lastRow="0" w:firstColumn="1" w:lastColumn="0" w:noHBand="0" w:noVBand="1"/>
      </w:tblPr>
      <w:tblGrid>
        <w:gridCol w:w="4111"/>
        <w:gridCol w:w="4286"/>
      </w:tblGrid>
      <w:tr w:rsidR="00AE781F" w:rsidRPr="00AE781F" w14:paraId="77E36913" w14:textId="77777777" w:rsidTr="00AE781F">
        <w:tc>
          <w:tcPr>
            <w:tcW w:w="2448" w:type="pct"/>
            <w:shd w:val="clear" w:color="auto" w:fill="808080" w:themeFill="background1" w:themeFillShade="80"/>
          </w:tcPr>
          <w:p w14:paraId="0DEAF24C" w14:textId="67DB957E" w:rsidR="00AE781F" w:rsidRPr="00AE781F" w:rsidRDefault="00AE781F" w:rsidP="00AE781F">
            <w:pPr>
              <w:ind w:left="399" w:right="444" w:hanging="283"/>
              <w:jc w:val="center"/>
              <w:rPr>
                <w:rFonts w:ascii="Times New Roman" w:hAnsi="Times New Roman"/>
                <w:noProof/>
                <w:sz w:val="24"/>
              </w:rPr>
            </w:pPr>
            <w:r>
              <w:rPr>
                <w:rFonts w:ascii="Times New Roman" w:hAnsi="Times New Roman"/>
                <w:b/>
                <w:strike/>
                <w:color w:val="FF0000"/>
              </w:rPr>
              <w:t>GAISMAS SIGNĀLS NO GAISA SATIKSMES VADĪBAS DIENESTIEM</w:t>
            </w:r>
          </w:p>
        </w:tc>
        <w:tc>
          <w:tcPr>
            <w:tcW w:w="2552" w:type="pct"/>
            <w:shd w:val="clear" w:color="auto" w:fill="808080" w:themeFill="background1" w:themeFillShade="80"/>
          </w:tcPr>
          <w:p w14:paraId="095E0B47" w14:textId="12E9659B" w:rsidR="00AE781F" w:rsidRPr="00AE781F" w:rsidRDefault="00AE781F" w:rsidP="00AE781F">
            <w:pPr>
              <w:spacing w:before="135"/>
              <w:ind w:left="1491" w:right="1695"/>
              <w:jc w:val="center"/>
              <w:rPr>
                <w:rFonts w:ascii="Times New Roman" w:hAnsi="Times New Roman"/>
                <w:noProof/>
                <w:sz w:val="24"/>
              </w:rPr>
            </w:pPr>
            <w:r>
              <w:rPr>
                <w:rFonts w:ascii="Times New Roman" w:hAnsi="Times New Roman"/>
                <w:b/>
                <w:strike/>
                <w:color w:val="FF0000"/>
              </w:rPr>
              <w:t>NOZĪME</w:t>
            </w:r>
          </w:p>
        </w:tc>
      </w:tr>
      <w:tr w:rsidR="00AE781F" w:rsidRPr="00AE781F" w14:paraId="5BB855B6" w14:textId="77777777" w:rsidTr="00AE781F">
        <w:tc>
          <w:tcPr>
            <w:tcW w:w="2448" w:type="pct"/>
            <w:shd w:val="clear" w:color="auto" w:fill="D9D9D9" w:themeFill="background1" w:themeFillShade="D9"/>
          </w:tcPr>
          <w:p w14:paraId="6A42E646" w14:textId="6BA58CF5" w:rsidR="00AE781F" w:rsidRPr="00AE781F" w:rsidRDefault="00AE781F" w:rsidP="00AE781F">
            <w:pPr>
              <w:ind w:left="1033" w:right="731"/>
              <w:rPr>
                <w:rFonts w:ascii="Times New Roman" w:hAnsi="Times New Roman"/>
                <w:noProof/>
                <w:sz w:val="24"/>
              </w:rPr>
            </w:pPr>
            <w:r>
              <w:rPr>
                <w:rFonts w:ascii="Times New Roman" w:hAnsi="Times New Roman"/>
                <w:strike/>
                <w:color w:val="FF0000"/>
              </w:rPr>
              <w:t>Mirgojošs zaļš</w:t>
            </w:r>
          </w:p>
        </w:tc>
        <w:tc>
          <w:tcPr>
            <w:tcW w:w="2552" w:type="pct"/>
            <w:shd w:val="clear" w:color="auto" w:fill="D9D9D9" w:themeFill="background1" w:themeFillShade="D9"/>
          </w:tcPr>
          <w:p w14:paraId="23890CAF" w14:textId="7F03B09F" w:rsidR="00AE781F" w:rsidRPr="00AE781F" w:rsidRDefault="00AE781F" w:rsidP="00AE781F">
            <w:pPr>
              <w:ind w:right="333"/>
              <w:rPr>
                <w:rFonts w:ascii="Times New Roman" w:hAnsi="Times New Roman"/>
                <w:noProof/>
                <w:sz w:val="24"/>
              </w:rPr>
            </w:pPr>
            <w:r>
              <w:rPr>
                <w:rFonts w:ascii="Times New Roman" w:hAnsi="Times New Roman"/>
                <w:strike/>
                <w:color w:val="FF0000"/>
              </w:rPr>
              <w:t>Atļauts šķērsot nosēšanās zonu vai uzbraukt uz manevrēšanas ceļa</w:t>
            </w:r>
          </w:p>
        </w:tc>
      </w:tr>
      <w:tr w:rsidR="00AE781F" w:rsidRPr="00AE781F" w14:paraId="18F0C320" w14:textId="77777777" w:rsidTr="00AE781F">
        <w:tc>
          <w:tcPr>
            <w:tcW w:w="2448" w:type="pct"/>
            <w:shd w:val="clear" w:color="auto" w:fill="D9D9D9" w:themeFill="background1" w:themeFillShade="D9"/>
          </w:tcPr>
          <w:p w14:paraId="49BD138A" w14:textId="22F746E7" w:rsidR="00AE781F" w:rsidRPr="00AE781F" w:rsidRDefault="00AE781F" w:rsidP="00AE781F">
            <w:pPr>
              <w:spacing w:line="220" w:lineRule="exact"/>
              <w:ind w:left="1033" w:right="731" w:firstLine="12"/>
              <w:rPr>
                <w:rFonts w:ascii="Times New Roman" w:hAnsi="Times New Roman"/>
                <w:noProof/>
                <w:sz w:val="24"/>
              </w:rPr>
            </w:pPr>
            <w:r>
              <w:rPr>
                <w:rFonts w:ascii="Times New Roman" w:hAnsi="Times New Roman"/>
                <w:strike/>
                <w:color w:val="FF0000"/>
              </w:rPr>
              <w:t>Pastāvīgs sarkans</w:t>
            </w:r>
          </w:p>
        </w:tc>
        <w:tc>
          <w:tcPr>
            <w:tcW w:w="2552" w:type="pct"/>
            <w:shd w:val="clear" w:color="auto" w:fill="D9D9D9" w:themeFill="background1" w:themeFillShade="D9"/>
          </w:tcPr>
          <w:p w14:paraId="75A3689A" w14:textId="76E31D51" w:rsidR="00AE781F" w:rsidRPr="00AE781F" w:rsidRDefault="00AE781F" w:rsidP="00AE781F">
            <w:pPr>
              <w:spacing w:line="220" w:lineRule="exact"/>
              <w:rPr>
                <w:rFonts w:ascii="Times New Roman" w:hAnsi="Times New Roman"/>
                <w:noProof/>
                <w:sz w:val="24"/>
              </w:rPr>
            </w:pPr>
            <w:r>
              <w:rPr>
                <w:rFonts w:ascii="Times New Roman" w:hAnsi="Times New Roman"/>
                <w:strike/>
                <w:color w:val="FF0000"/>
              </w:rPr>
              <w:t>Stāt!</w:t>
            </w:r>
          </w:p>
        </w:tc>
      </w:tr>
      <w:tr w:rsidR="00AE781F" w:rsidRPr="00AE781F" w14:paraId="5AE6FE82" w14:textId="77777777" w:rsidTr="00AE781F">
        <w:tc>
          <w:tcPr>
            <w:tcW w:w="2448" w:type="pct"/>
            <w:shd w:val="clear" w:color="auto" w:fill="D9D9D9" w:themeFill="background1" w:themeFillShade="D9"/>
          </w:tcPr>
          <w:p w14:paraId="677A5ABF" w14:textId="16B8205F" w:rsidR="00AE781F" w:rsidRPr="00AE781F" w:rsidRDefault="00AE781F" w:rsidP="00AE781F">
            <w:pPr>
              <w:spacing w:before="1"/>
              <w:ind w:left="1033" w:right="731"/>
              <w:rPr>
                <w:rFonts w:ascii="Times New Roman" w:hAnsi="Times New Roman"/>
                <w:noProof/>
                <w:sz w:val="24"/>
              </w:rPr>
            </w:pPr>
            <w:r>
              <w:rPr>
                <w:rFonts w:ascii="Times New Roman" w:hAnsi="Times New Roman"/>
                <w:strike/>
                <w:color w:val="FF0000"/>
              </w:rPr>
              <w:t>Mirgojošs sarkans</w:t>
            </w:r>
          </w:p>
        </w:tc>
        <w:tc>
          <w:tcPr>
            <w:tcW w:w="2552" w:type="pct"/>
            <w:shd w:val="clear" w:color="auto" w:fill="D9D9D9" w:themeFill="background1" w:themeFillShade="D9"/>
          </w:tcPr>
          <w:p w14:paraId="5BF82D19" w14:textId="598D41F5" w:rsidR="00AE781F" w:rsidRPr="00AE781F" w:rsidRDefault="00AE781F" w:rsidP="00AE781F">
            <w:pPr>
              <w:spacing w:before="1"/>
              <w:ind w:right="581"/>
              <w:rPr>
                <w:rFonts w:ascii="Times New Roman" w:hAnsi="Times New Roman"/>
                <w:noProof/>
                <w:sz w:val="24"/>
              </w:rPr>
            </w:pPr>
            <w:r>
              <w:rPr>
                <w:rFonts w:ascii="Times New Roman" w:hAnsi="Times New Roman"/>
                <w:strike/>
                <w:color w:val="FF0000"/>
              </w:rPr>
              <w:t>Jāizbrauc no nosēšanās zonas vai manevrēšanas ceļa un jāuzmanās no gaisa kuģa</w:t>
            </w:r>
          </w:p>
        </w:tc>
      </w:tr>
      <w:tr w:rsidR="00AE781F" w:rsidRPr="00AE781F" w14:paraId="2948F747" w14:textId="77777777" w:rsidTr="00AE781F">
        <w:tc>
          <w:tcPr>
            <w:tcW w:w="2448" w:type="pct"/>
            <w:shd w:val="clear" w:color="auto" w:fill="D9D9D9" w:themeFill="background1" w:themeFillShade="D9"/>
          </w:tcPr>
          <w:p w14:paraId="6ABEA6AD" w14:textId="2FFAD57F" w:rsidR="00AE781F" w:rsidRPr="00AE781F" w:rsidRDefault="00AE781F" w:rsidP="00AE781F">
            <w:pPr>
              <w:spacing w:before="1"/>
              <w:ind w:left="1033" w:right="731"/>
              <w:rPr>
                <w:rFonts w:ascii="Times New Roman" w:hAnsi="Times New Roman"/>
                <w:noProof/>
                <w:sz w:val="24"/>
              </w:rPr>
            </w:pPr>
            <w:r>
              <w:rPr>
                <w:rFonts w:ascii="Times New Roman" w:hAnsi="Times New Roman"/>
                <w:strike/>
                <w:color w:val="FF0000"/>
              </w:rPr>
              <w:t>Mirgojošs balts</w:t>
            </w:r>
          </w:p>
        </w:tc>
        <w:tc>
          <w:tcPr>
            <w:tcW w:w="2552" w:type="pct"/>
            <w:shd w:val="clear" w:color="auto" w:fill="D9D9D9" w:themeFill="background1" w:themeFillShade="D9"/>
          </w:tcPr>
          <w:p w14:paraId="2F0D38CE" w14:textId="37B36E6C" w:rsidR="00AE781F" w:rsidRPr="00AE781F" w:rsidRDefault="00AE781F" w:rsidP="00AE781F">
            <w:pPr>
              <w:ind w:right="227"/>
              <w:rPr>
                <w:rFonts w:ascii="Times New Roman" w:hAnsi="Times New Roman"/>
                <w:noProof/>
                <w:sz w:val="24"/>
              </w:rPr>
            </w:pPr>
            <w:r>
              <w:rPr>
                <w:rFonts w:ascii="Times New Roman" w:hAnsi="Times New Roman"/>
                <w:strike/>
                <w:color w:val="FF0000"/>
              </w:rPr>
              <w:t>Jāatbrīvo manevrēšanas teritorija saskaņā ar vietējiem norādījumiem</w:t>
            </w:r>
          </w:p>
        </w:tc>
      </w:tr>
    </w:tbl>
    <w:p w14:paraId="06848DFA" w14:textId="6CEF5F55" w:rsidR="00AE781F" w:rsidRDefault="00AE781F" w:rsidP="00AE781F">
      <w:pPr>
        <w:tabs>
          <w:tab w:val="left" w:pos="709"/>
        </w:tabs>
        <w:ind w:left="567" w:hanging="567"/>
        <w:rPr>
          <w:rFonts w:ascii="Times New Roman" w:hAnsi="Times New Roman"/>
          <w:strike/>
          <w:noProof/>
          <w:color w:val="FF0000"/>
          <w:sz w:val="24"/>
        </w:rPr>
      </w:pPr>
      <w:r>
        <w:rPr>
          <w:rFonts w:ascii="Times New Roman" w:hAnsi="Times New Roman"/>
          <w:strike/>
          <w:color w:val="FF0000"/>
          <w:sz w:val="24"/>
        </w:rPr>
        <w:t>b) Avārijas apstākļos vai gadījumā, ja netiek ievēroti a) punktā minētie signāli, turpmāk norādītais signāls tiks izmantots attiecībā uz skrejceļiem vai manevrēšanas ceļiem, kas aprīkoti ar uguņu sistēmu, un tam ir jābūt tādai nozīmei, kāda minēta turpmāk.</w:t>
      </w:r>
    </w:p>
    <w:p w14:paraId="66500599" w14:textId="77777777" w:rsidR="004C3C13" w:rsidRPr="00AE781F" w:rsidRDefault="004C3C13" w:rsidP="00AE781F">
      <w:pPr>
        <w:tabs>
          <w:tab w:val="left" w:pos="709"/>
        </w:tabs>
        <w:ind w:left="567" w:hanging="567"/>
        <w:rPr>
          <w:rFonts w:ascii="Times New Roman" w:hAnsi="Times New Roman"/>
          <w:strike/>
          <w:noProof/>
          <w:color w:val="FF0000"/>
          <w:sz w:val="24"/>
        </w:rPr>
      </w:pPr>
    </w:p>
    <w:tbl>
      <w:tblPr>
        <w:tblStyle w:val="TableGrid"/>
        <w:tblW w:w="4604" w:type="pct"/>
        <w:tblInd w:w="737" w:type="dxa"/>
        <w:tblBorders>
          <w:top w:val="single" w:sz="24" w:space="0" w:color="FFFFFF" w:themeColor="background1"/>
          <w:left w:val="none" w:sz="0" w:space="0" w:color="auto"/>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CellMar>
          <w:top w:w="28" w:type="dxa"/>
          <w:left w:w="28" w:type="dxa"/>
          <w:bottom w:w="28" w:type="dxa"/>
          <w:right w:w="28" w:type="dxa"/>
        </w:tblCellMar>
        <w:tblLook w:val="04A0" w:firstRow="1" w:lastRow="0" w:firstColumn="1" w:lastColumn="0" w:noHBand="0" w:noVBand="1"/>
      </w:tblPr>
      <w:tblGrid>
        <w:gridCol w:w="4111"/>
        <w:gridCol w:w="4299"/>
      </w:tblGrid>
      <w:tr w:rsidR="00AE781F" w:rsidRPr="00AE781F" w14:paraId="4E5A8F86" w14:textId="77777777" w:rsidTr="00507B3D">
        <w:trPr>
          <w:trHeight w:val="489"/>
        </w:trPr>
        <w:tc>
          <w:tcPr>
            <w:tcW w:w="2444" w:type="pct"/>
            <w:shd w:val="clear" w:color="auto" w:fill="808080" w:themeFill="background1" w:themeFillShade="80"/>
            <w:vAlign w:val="center"/>
          </w:tcPr>
          <w:p w14:paraId="435155FA" w14:textId="2230A1D1" w:rsidR="00AE781F" w:rsidRPr="00AE781F" w:rsidRDefault="00AE781F" w:rsidP="00507B3D">
            <w:pPr>
              <w:ind w:left="-101"/>
              <w:jc w:val="center"/>
              <w:rPr>
                <w:rFonts w:ascii="Times New Roman" w:hAnsi="Times New Roman"/>
                <w:b/>
                <w:strike/>
                <w:noProof/>
              </w:rPr>
            </w:pPr>
            <w:r>
              <w:rPr>
                <w:rFonts w:ascii="Times New Roman" w:hAnsi="Times New Roman"/>
                <w:b/>
                <w:strike/>
                <w:color w:val="FF0000"/>
              </w:rPr>
              <w:t>GAISMAS SIGNĀLS</w:t>
            </w:r>
          </w:p>
        </w:tc>
        <w:tc>
          <w:tcPr>
            <w:tcW w:w="2556" w:type="pct"/>
            <w:shd w:val="clear" w:color="auto" w:fill="808080" w:themeFill="background1" w:themeFillShade="80"/>
            <w:vAlign w:val="center"/>
          </w:tcPr>
          <w:p w14:paraId="47C43CBA" w14:textId="61C2A5F7" w:rsidR="00AE781F" w:rsidRPr="00AE781F" w:rsidRDefault="00AE781F" w:rsidP="00507B3D">
            <w:pPr>
              <w:ind w:left="1253" w:right="1695"/>
              <w:jc w:val="center"/>
              <w:rPr>
                <w:rFonts w:ascii="Times New Roman" w:hAnsi="Times New Roman"/>
                <w:noProof/>
                <w:sz w:val="24"/>
              </w:rPr>
            </w:pPr>
            <w:r>
              <w:rPr>
                <w:rFonts w:ascii="Times New Roman" w:hAnsi="Times New Roman"/>
                <w:b/>
                <w:strike/>
                <w:color w:val="FF0000"/>
              </w:rPr>
              <w:t>NOZĪME</w:t>
            </w:r>
          </w:p>
        </w:tc>
      </w:tr>
      <w:tr w:rsidR="00AE781F" w:rsidRPr="00AE781F" w14:paraId="34F52A07" w14:textId="77777777" w:rsidTr="00507B3D">
        <w:trPr>
          <w:trHeight w:val="705"/>
        </w:trPr>
        <w:tc>
          <w:tcPr>
            <w:tcW w:w="2444" w:type="pct"/>
            <w:shd w:val="clear" w:color="auto" w:fill="D9D9D9" w:themeFill="background1" w:themeFillShade="D9"/>
          </w:tcPr>
          <w:p w14:paraId="0340ED5D" w14:textId="57A76D36" w:rsidR="00AE781F" w:rsidRPr="00AE781F" w:rsidRDefault="00AE781F" w:rsidP="00507B3D">
            <w:pPr>
              <w:pStyle w:val="BodyText"/>
              <w:ind w:left="324"/>
              <w:rPr>
                <w:rFonts w:ascii="Times New Roman" w:hAnsi="Times New Roman"/>
                <w:strike/>
                <w:noProof/>
                <w:color w:val="FF0000"/>
              </w:rPr>
            </w:pPr>
            <w:r>
              <w:rPr>
                <w:rFonts w:ascii="Times New Roman" w:hAnsi="Times New Roman"/>
                <w:strike/>
                <w:color w:val="FF0000"/>
              </w:rPr>
              <w:t>Mirgojošas skrejceļa vai manevrēšanas ceļa ugunis</w:t>
            </w:r>
          </w:p>
        </w:tc>
        <w:tc>
          <w:tcPr>
            <w:tcW w:w="2556" w:type="pct"/>
            <w:shd w:val="clear" w:color="auto" w:fill="D9D9D9" w:themeFill="background1" w:themeFillShade="D9"/>
          </w:tcPr>
          <w:p w14:paraId="6CDEA88D" w14:textId="47E88C12" w:rsidR="00AE781F" w:rsidRPr="00AE781F" w:rsidRDefault="00AE781F" w:rsidP="00507B3D">
            <w:pPr>
              <w:pStyle w:val="BodyText"/>
              <w:ind w:left="86" w:right="193"/>
              <w:rPr>
                <w:rFonts w:ascii="Times New Roman" w:hAnsi="Times New Roman"/>
                <w:strike/>
                <w:noProof/>
                <w:color w:val="FF0000"/>
              </w:rPr>
            </w:pPr>
            <w:r>
              <w:rPr>
                <w:rFonts w:ascii="Times New Roman" w:hAnsi="Times New Roman"/>
                <w:strike/>
                <w:color w:val="FF0000"/>
              </w:rPr>
              <w:t>Atbrīvot skrejceļu un skatīties torņa sūtīto gaismas signālu</w:t>
            </w:r>
          </w:p>
        </w:tc>
      </w:tr>
    </w:tbl>
    <w:p w14:paraId="505A864A" w14:textId="77777777" w:rsidR="00662C42" w:rsidRPr="00AE781F" w:rsidRDefault="00662C42" w:rsidP="00AE781F">
      <w:pPr>
        <w:pStyle w:val="BodyText"/>
        <w:ind w:left="567" w:hanging="567"/>
        <w:jc w:val="both"/>
        <w:rPr>
          <w:rFonts w:ascii="Times New Roman" w:hAnsi="Times New Roman"/>
          <w:noProof/>
          <w:sz w:val="24"/>
        </w:rPr>
      </w:pPr>
      <w:r>
        <w:rPr>
          <w:rFonts w:ascii="Times New Roman" w:hAnsi="Times New Roman"/>
          <w:strike/>
          <w:color w:val="FF0000"/>
          <w:sz w:val="24"/>
        </w:rPr>
        <w:t>c</w:t>
      </w:r>
      <w:r>
        <w:rPr>
          <w:rFonts w:ascii="Times New Roman" w:hAnsi="Times New Roman"/>
          <w:sz w:val="24"/>
          <w:shd w:val="clear" w:color="auto" w:fill="00FFFF"/>
        </w:rPr>
        <w:t>a</w:t>
      </w:r>
      <w:r>
        <w:rPr>
          <w:rFonts w:ascii="Times New Roman" w:hAnsi="Times New Roman"/>
          <w:sz w:val="24"/>
        </w:rPr>
        <w:t>) Uzmanība jāpievērš tam, lai procedūrās būtu noteikta rīcība gadījumā, kad pastāvošo redzamības apstākļu dēļ transportlīdzekļa vadītājs vai gājējs, kuram atļauts darboties manevrēšanas zonā, nespēj saskatīt gaismas signālus.</w:t>
      </w:r>
    </w:p>
    <w:p w14:paraId="51B38CDF" w14:textId="77777777" w:rsidR="00AE781F" w:rsidRPr="00AE781F" w:rsidRDefault="00AE781F" w:rsidP="00AE781F">
      <w:pPr>
        <w:pStyle w:val="BodyText"/>
        <w:ind w:left="567" w:hanging="567"/>
        <w:jc w:val="both"/>
        <w:rPr>
          <w:rFonts w:ascii="Times New Roman" w:hAnsi="Times New Roman"/>
          <w:noProof/>
          <w:sz w:val="24"/>
        </w:rPr>
      </w:pPr>
    </w:p>
    <w:p w14:paraId="3BDEA94A" w14:textId="77777777" w:rsidR="00662C42" w:rsidRPr="00AE781F" w:rsidRDefault="00662C42" w:rsidP="00AE781F">
      <w:pPr>
        <w:pStyle w:val="BodyText"/>
        <w:ind w:left="567" w:hanging="567"/>
        <w:jc w:val="both"/>
        <w:rPr>
          <w:rFonts w:ascii="Times New Roman" w:hAnsi="Times New Roman"/>
          <w:noProof/>
          <w:sz w:val="24"/>
        </w:rPr>
      </w:pPr>
      <w:r>
        <w:rPr>
          <w:rFonts w:ascii="Times New Roman" w:hAnsi="Times New Roman"/>
          <w:strike/>
          <w:color w:val="FF0000"/>
          <w:sz w:val="24"/>
        </w:rPr>
        <w:t>d</w:t>
      </w:r>
      <w:r>
        <w:rPr>
          <w:rFonts w:ascii="Times New Roman" w:hAnsi="Times New Roman"/>
          <w:sz w:val="24"/>
          <w:shd w:val="clear" w:color="auto" w:fill="00FFFF"/>
        </w:rPr>
        <w:t>b</w:t>
      </w:r>
      <w:r>
        <w:rPr>
          <w:rFonts w:ascii="Times New Roman" w:hAnsi="Times New Roman"/>
          <w:sz w:val="24"/>
        </w:rPr>
        <w:t>) Ja tiek panākta vienošanās ar gaisa satiksmes pakalpojumu sniedzēju par citu/papildu sakaru līdzekļu (piemēram, mobilo tālruņu) izmantošanu radiosakaru līdzekļu atteices gadījumā, procedūrās jāietver arī nepieciešamā praktiskā informācija (piemēram, izmantojamie tālruņa numuri), kā arī saskaņoto risinājumu piemērošanas secība.</w:t>
      </w:r>
    </w:p>
    <w:sectPr w:rsidR="00662C42" w:rsidRPr="00AE781F" w:rsidSect="00AE781F">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8BE43" w14:textId="77777777" w:rsidR="00134E35" w:rsidRPr="00662C42" w:rsidRDefault="00134E35">
      <w:pPr>
        <w:rPr>
          <w:noProof/>
        </w:rPr>
      </w:pPr>
      <w:r w:rsidRPr="00662C42">
        <w:rPr>
          <w:noProof/>
        </w:rPr>
        <w:separator/>
      </w:r>
    </w:p>
  </w:endnote>
  <w:endnote w:type="continuationSeparator" w:id="0">
    <w:p w14:paraId="3F7B82A9" w14:textId="77777777" w:rsidR="00134E35" w:rsidRPr="00662C42" w:rsidRDefault="00134E35">
      <w:pPr>
        <w:rPr>
          <w:noProof/>
        </w:rPr>
      </w:pPr>
      <w:r w:rsidRPr="00662C42">
        <w:rPr>
          <w:noProof/>
        </w:rPr>
        <w:continuationSeparator/>
      </w:r>
    </w:p>
  </w:endnote>
  <w:endnote w:type="continuationNotice" w:id="1">
    <w:p w14:paraId="249E5C9D" w14:textId="77777777" w:rsidR="00134E35" w:rsidRDefault="00134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0902" w14:textId="77777777" w:rsidR="00FC4F3A" w:rsidRPr="00E11004" w:rsidRDefault="00FC4F3A" w:rsidP="00FC4F3A">
    <w:pPr>
      <w:tabs>
        <w:tab w:val="center" w:pos="4513"/>
        <w:tab w:val="right" w:pos="9026"/>
        <w:tab w:val="left" w:pos="9072"/>
      </w:tabs>
      <w:rPr>
        <w:rFonts w:ascii="Times New Roman" w:hAnsi="Times New Roman" w:cs="Times New Roman"/>
        <w:sz w:val="20"/>
        <w:szCs w:val="20"/>
        <w:u w:val="single"/>
        <w:lang w:val="en-US"/>
      </w:rPr>
    </w:pPr>
  </w:p>
  <w:p w14:paraId="5DD452C3" w14:textId="77777777" w:rsidR="00FC4F3A" w:rsidRPr="00E11004" w:rsidRDefault="00FC4F3A" w:rsidP="00FC4F3A">
    <w:pPr>
      <w:tabs>
        <w:tab w:val="right" w:pos="9026"/>
        <w:tab w:val="center" w:pos="9072"/>
      </w:tabs>
      <w:rPr>
        <w:rFonts w:ascii="Times New Roman" w:hAnsi="Times New Roman" w:cs="Times New Roman"/>
        <w:noProof/>
        <w:sz w:val="20"/>
        <w:szCs w:val="20"/>
        <w:u w:val="single"/>
        <w:lang w:val="en-US"/>
      </w:rPr>
    </w:pPr>
    <w:r w:rsidRPr="00E11004">
      <w:rPr>
        <w:rFonts w:ascii="Times New Roman" w:hAnsi="Times New Roman" w:cs="Times New Roman"/>
        <w:noProof/>
        <w:sz w:val="20"/>
        <w:szCs w:val="20"/>
        <w:u w:val="single"/>
        <w:lang w:val="en-US"/>
      </w:rPr>
      <w:tab/>
    </w:r>
  </w:p>
  <w:p w14:paraId="3577F628" w14:textId="77777777" w:rsidR="00FC4F3A" w:rsidRPr="00E11004" w:rsidRDefault="00FC4F3A" w:rsidP="00FC4F3A">
    <w:pPr>
      <w:tabs>
        <w:tab w:val="center" w:pos="4513"/>
        <w:tab w:val="right" w:pos="9026"/>
        <w:tab w:val="right" w:pos="9072"/>
      </w:tabs>
      <w:rPr>
        <w:rFonts w:ascii="Times New Roman" w:hAnsi="Times New Roman" w:cs="Times New Roman"/>
        <w:noProof/>
        <w:sz w:val="20"/>
        <w:szCs w:val="20"/>
        <w:u w:val="single"/>
        <w:lang w:val="en-US"/>
      </w:rPr>
    </w:pPr>
  </w:p>
  <w:p w14:paraId="562B24E9" w14:textId="77777777" w:rsidR="00FC4F3A" w:rsidRPr="00E11004" w:rsidRDefault="00FC4F3A" w:rsidP="00FC4F3A">
    <w:pPr>
      <w:tabs>
        <w:tab w:val="center" w:pos="8931"/>
        <w:tab w:val="right" w:pos="9026"/>
        <w:tab w:val="right" w:pos="9072"/>
      </w:tabs>
      <w:rPr>
        <w:rFonts w:ascii="Times New Roman" w:hAnsi="Times New Roman" w:cs="Times New Roman"/>
        <w:sz w:val="20"/>
        <w:szCs w:val="20"/>
        <w:lang w:val="en-US"/>
      </w:rPr>
    </w:pPr>
    <w:r w:rsidRPr="00E11004">
      <w:rPr>
        <w:rFonts w:ascii="Times New Roman" w:hAnsi="Times New Roman" w:cs="Times New Roman"/>
        <w:noProof/>
        <w:sz w:val="20"/>
        <w:szCs w:val="20"/>
        <w:lang w:val="en-US"/>
      </w:rPr>
      <w:t xml:space="preserve">Tulkojums </w:t>
    </w:r>
    <w:r w:rsidRPr="00E11004">
      <w:rPr>
        <w:rFonts w:ascii="Times New Roman" w:hAnsi="Times New Roman" w:cs="Times New Roman"/>
        <w:noProof/>
        <w:sz w:val="20"/>
        <w:szCs w:val="20"/>
        <w:lang w:val="en-US"/>
      </w:rPr>
      <w:fldChar w:fldCharType="begin"/>
    </w:r>
    <w:r w:rsidRPr="00E11004">
      <w:rPr>
        <w:rFonts w:ascii="Times New Roman" w:hAnsi="Times New Roman" w:cs="Times New Roman"/>
        <w:noProof/>
        <w:sz w:val="20"/>
        <w:szCs w:val="20"/>
        <w:lang w:val="en-US"/>
      </w:rPr>
      <w:instrText>symbol 211 \f "Symbol" \s 9</w:instrText>
    </w:r>
    <w:r w:rsidRPr="00E11004">
      <w:rPr>
        <w:rFonts w:ascii="Times New Roman" w:hAnsi="Times New Roman" w:cs="Times New Roman"/>
        <w:noProof/>
        <w:sz w:val="20"/>
        <w:szCs w:val="20"/>
        <w:lang w:val="en-US"/>
      </w:rPr>
      <w:fldChar w:fldCharType="separate"/>
    </w:r>
    <w:r w:rsidRPr="00E11004">
      <w:rPr>
        <w:rFonts w:ascii="Times New Roman" w:hAnsi="Times New Roman" w:cs="Times New Roman"/>
        <w:noProof/>
        <w:sz w:val="20"/>
        <w:szCs w:val="20"/>
        <w:lang w:val="en-US"/>
      </w:rPr>
      <w:t>Ó</w:t>
    </w:r>
    <w:r w:rsidRPr="00E11004">
      <w:rPr>
        <w:rFonts w:ascii="Times New Roman" w:hAnsi="Times New Roman" w:cs="Times New Roman"/>
        <w:noProof/>
        <w:sz w:val="20"/>
        <w:szCs w:val="20"/>
        <w:lang w:val="en-US"/>
      </w:rPr>
      <w:fldChar w:fldCharType="end"/>
    </w:r>
    <w:r w:rsidRPr="00E11004">
      <w:rPr>
        <w:rFonts w:ascii="Times New Roman" w:hAnsi="Times New Roman" w:cs="Times New Roman"/>
        <w:noProof/>
        <w:sz w:val="20"/>
        <w:szCs w:val="20"/>
        <w:lang w:val="en-US"/>
      </w:rPr>
      <w:t xml:space="preserve"> Valsts valodas centrs, 2024</w:t>
    </w:r>
    <w:r w:rsidRPr="00E11004">
      <w:rPr>
        <w:rFonts w:ascii="Times New Roman" w:hAnsi="Times New Roman" w:cs="Times New Roman"/>
        <w:noProof/>
        <w:sz w:val="20"/>
        <w:szCs w:val="20"/>
        <w:lang w:val="en-US"/>
      </w:rPr>
      <w:tab/>
    </w:r>
    <w:r w:rsidRPr="00E11004">
      <w:rPr>
        <w:rFonts w:ascii="Times New Roman" w:hAnsi="Times New Roman" w:cs="Times New Roman"/>
        <w:noProof/>
        <w:sz w:val="20"/>
        <w:szCs w:val="20"/>
        <w:lang w:val="en-US"/>
      </w:rPr>
      <w:fldChar w:fldCharType="begin"/>
    </w:r>
    <w:r w:rsidRPr="00E11004">
      <w:rPr>
        <w:rFonts w:ascii="Times New Roman" w:hAnsi="Times New Roman" w:cs="Times New Roman"/>
        <w:noProof/>
        <w:sz w:val="20"/>
        <w:szCs w:val="20"/>
        <w:lang w:val="en-US"/>
      </w:rPr>
      <w:instrText xml:space="preserve">page </w:instrText>
    </w:r>
    <w:r w:rsidRPr="00E11004">
      <w:rPr>
        <w:rFonts w:ascii="Times New Roman" w:hAnsi="Times New Roman" w:cs="Times New Roman"/>
        <w:noProof/>
        <w:sz w:val="20"/>
        <w:szCs w:val="20"/>
        <w:lang w:val="en-US"/>
      </w:rPr>
      <w:fldChar w:fldCharType="separate"/>
    </w:r>
    <w:r>
      <w:rPr>
        <w:rFonts w:ascii="Times New Roman" w:hAnsi="Times New Roman" w:cs="Times New Roman"/>
        <w:noProof/>
        <w:sz w:val="20"/>
        <w:szCs w:val="20"/>
        <w:lang w:val="en-US"/>
      </w:rPr>
      <w:t>2</w:t>
    </w:r>
    <w:r w:rsidRPr="00E11004">
      <w:rPr>
        <w:rFonts w:ascii="Times New Roman" w:hAnsi="Times New Roman" w:cs="Times New Roman"/>
        <w:noProof/>
        <w:sz w:val="20"/>
        <w:szCs w:val="20"/>
        <w:lang w:val="en-US"/>
      </w:rPr>
      <w:fldChar w:fldCharType="end"/>
    </w:r>
  </w:p>
  <w:p w14:paraId="32C053D3" w14:textId="414CE507" w:rsidR="000F6151" w:rsidRDefault="000F6151">
    <w:pPr>
      <w:pStyle w:val="BodyText"/>
      <w:spacing w:line="14" w:lineRule="auto"/>
      <w:rPr>
        <w:sz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6455" w14:textId="77777777" w:rsidR="00CF0593" w:rsidRPr="00D24644" w:rsidRDefault="00CF0593" w:rsidP="00CF0593">
    <w:pPr>
      <w:tabs>
        <w:tab w:val="center" w:pos="4513"/>
        <w:tab w:val="right" w:pos="9026"/>
        <w:tab w:val="left" w:leader="underscore" w:pos="9072"/>
      </w:tabs>
      <w:rPr>
        <w:rFonts w:ascii="Times New Roman" w:hAnsi="Times New Roman" w:cs="Times New Roman"/>
        <w:noProof/>
        <w:sz w:val="20"/>
        <w:szCs w:val="18"/>
        <w:lang w:val="en-US"/>
      </w:rPr>
    </w:pPr>
  </w:p>
  <w:p w14:paraId="096EDCB6" w14:textId="77777777" w:rsidR="00CF0593" w:rsidRPr="00D24644" w:rsidRDefault="00CF0593" w:rsidP="00CF0593">
    <w:pPr>
      <w:tabs>
        <w:tab w:val="left" w:leader="underscore" w:pos="9072"/>
      </w:tabs>
      <w:rPr>
        <w:rFonts w:ascii="Times New Roman" w:hAnsi="Times New Roman" w:cs="Times New Roman"/>
        <w:noProof/>
        <w:sz w:val="20"/>
        <w:szCs w:val="18"/>
        <w:lang w:val="en-US"/>
      </w:rPr>
    </w:pPr>
    <w:r w:rsidRPr="00D24644">
      <w:rPr>
        <w:rFonts w:ascii="Times New Roman" w:hAnsi="Times New Roman" w:cs="Times New Roman"/>
        <w:noProof/>
        <w:sz w:val="20"/>
        <w:szCs w:val="18"/>
        <w:lang w:val="en-US"/>
      </w:rPr>
      <w:tab/>
    </w:r>
  </w:p>
  <w:p w14:paraId="7D15DEB2" w14:textId="77777777" w:rsidR="00CF0593" w:rsidRPr="00D24644" w:rsidRDefault="00CF0593" w:rsidP="00CF0593">
    <w:pPr>
      <w:tabs>
        <w:tab w:val="center" w:pos="4513"/>
        <w:tab w:val="right" w:pos="9026"/>
        <w:tab w:val="left" w:leader="underscore" w:pos="9072"/>
      </w:tabs>
      <w:rPr>
        <w:rFonts w:ascii="Times New Roman" w:hAnsi="Times New Roman" w:cs="Times New Roman"/>
        <w:noProof/>
        <w:sz w:val="20"/>
        <w:szCs w:val="18"/>
        <w:lang w:val="en-US"/>
      </w:rPr>
    </w:pPr>
  </w:p>
  <w:p w14:paraId="28BE13F4" w14:textId="2E2E55C2" w:rsidR="002A27A7" w:rsidRPr="00CF0593" w:rsidRDefault="00CF0593" w:rsidP="00CF0593">
    <w:pPr>
      <w:tabs>
        <w:tab w:val="center" w:pos="4513"/>
        <w:tab w:val="right" w:pos="9026"/>
        <w:tab w:val="left" w:leader="underscore" w:pos="9072"/>
      </w:tabs>
      <w:rPr>
        <w:rFonts w:ascii="Times New Roman" w:hAnsi="Times New Roman" w:cs="Times New Roman"/>
        <w:noProof/>
        <w:sz w:val="20"/>
        <w:szCs w:val="18"/>
        <w:lang w:val="en-US"/>
      </w:rPr>
    </w:pPr>
    <w:r w:rsidRPr="00D24644">
      <w:rPr>
        <w:rFonts w:ascii="Times New Roman" w:hAnsi="Times New Roman" w:cs="Times New Roman"/>
        <w:noProof/>
        <w:sz w:val="20"/>
        <w:szCs w:val="18"/>
        <w:lang w:val="en-US"/>
      </w:rPr>
      <w:t xml:space="preserve">Tulkojums </w:t>
    </w:r>
    <w:r w:rsidRPr="00D24644">
      <w:rPr>
        <w:rFonts w:ascii="Times New Roman" w:hAnsi="Times New Roman" w:cs="Times New Roman"/>
        <w:noProof/>
        <w:sz w:val="20"/>
        <w:szCs w:val="18"/>
        <w:lang w:val="en-US"/>
      </w:rPr>
      <w:fldChar w:fldCharType="begin"/>
    </w:r>
    <w:r w:rsidRPr="00D24644">
      <w:rPr>
        <w:rFonts w:ascii="Times New Roman" w:hAnsi="Times New Roman" w:cs="Times New Roman"/>
        <w:noProof/>
        <w:sz w:val="20"/>
        <w:szCs w:val="18"/>
        <w:lang w:val="en-US"/>
      </w:rPr>
      <w:instrText>symbol 211 \f "Symbol" \s 9</w:instrText>
    </w:r>
    <w:r w:rsidRPr="00D24644">
      <w:rPr>
        <w:rFonts w:ascii="Times New Roman" w:hAnsi="Times New Roman" w:cs="Times New Roman"/>
        <w:noProof/>
        <w:sz w:val="20"/>
        <w:szCs w:val="18"/>
        <w:lang w:val="en-US"/>
      </w:rPr>
      <w:fldChar w:fldCharType="separate"/>
    </w:r>
    <w:r w:rsidRPr="00D24644">
      <w:rPr>
        <w:rFonts w:ascii="Times New Roman" w:hAnsi="Times New Roman" w:cs="Times New Roman"/>
        <w:noProof/>
        <w:sz w:val="20"/>
        <w:szCs w:val="18"/>
        <w:lang w:val="en-US"/>
      </w:rPr>
      <w:t>Ó</w:t>
    </w:r>
    <w:r w:rsidRPr="00D24644">
      <w:rPr>
        <w:rFonts w:ascii="Times New Roman" w:hAnsi="Times New Roman" w:cs="Times New Roman"/>
        <w:noProof/>
        <w:sz w:val="20"/>
        <w:szCs w:val="18"/>
      </w:rPr>
      <w:fldChar w:fldCharType="end"/>
    </w:r>
    <w:r w:rsidRPr="00D24644">
      <w:rPr>
        <w:rFonts w:ascii="Times New Roman" w:hAnsi="Times New Roman" w:cs="Times New Roman"/>
        <w:noProof/>
        <w:sz w:val="20"/>
        <w:szCs w:val="18"/>
        <w:lang w:val="en-US"/>
      </w:rPr>
      <w:t xml:space="preserve"> Valsts valodas centrs,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079F6" w14:textId="77777777" w:rsidR="00134E35" w:rsidRPr="00662C42" w:rsidRDefault="00134E35">
      <w:pPr>
        <w:rPr>
          <w:noProof/>
        </w:rPr>
      </w:pPr>
      <w:r w:rsidRPr="00662C42">
        <w:rPr>
          <w:noProof/>
        </w:rPr>
        <w:separator/>
      </w:r>
    </w:p>
  </w:footnote>
  <w:footnote w:type="continuationSeparator" w:id="0">
    <w:p w14:paraId="40264F5E" w14:textId="77777777" w:rsidR="00134E35" w:rsidRPr="00662C42" w:rsidRDefault="00134E35">
      <w:pPr>
        <w:rPr>
          <w:noProof/>
        </w:rPr>
      </w:pPr>
      <w:r w:rsidRPr="00662C42">
        <w:rPr>
          <w:noProof/>
        </w:rPr>
        <w:continuationSeparator/>
      </w:r>
    </w:p>
  </w:footnote>
  <w:footnote w:type="continuationNotice" w:id="1">
    <w:p w14:paraId="09BD2285" w14:textId="77777777" w:rsidR="00134E35" w:rsidRDefault="00134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91A4A" w14:textId="77777777" w:rsidR="00DD4358" w:rsidRPr="005E00FA" w:rsidRDefault="00DD4358" w:rsidP="00DD4358">
    <w:pPr>
      <w:tabs>
        <w:tab w:val="center" w:pos="4513"/>
        <w:tab w:val="right" w:pos="9026"/>
      </w:tabs>
      <w:rPr>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bookmarkStart w:id="8" w:name="_Hlk30491084"/>
    <w:bookmarkStart w:id="9" w:name="_Hlk30491085"/>
    <w:bookmarkStart w:id="10" w:name="_Hlk63344778"/>
    <w:bookmarkStart w:id="11" w:name="_Hlk63344779"/>
    <w:bookmarkStart w:id="12" w:name="_Hlk63344780"/>
    <w:bookmarkStart w:id="13" w:name="_Hlk63344781"/>
  </w:p>
  <w:p w14:paraId="3F9265B8" w14:textId="77777777" w:rsidR="00DD4358" w:rsidRPr="005E00FA" w:rsidRDefault="00DD4358" w:rsidP="00DD4358">
    <w:pPr>
      <w:tabs>
        <w:tab w:val="right" w:leader="underscore" w:pos="9072"/>
      </w:tabs>
      <w:rPr>
        <w:rFonts w:ascii="Times New Roman" w:hAnsi="Times New Roman" w:cs="Times New Roman"/>
        <w:sz w:val="20"/>
        <w:szCs w:val="20"/>
      </w:rPr>
    </w:pPr>
    <w:r w:rsidRPr="005E00FA">
      <w:rPr>
        <w:rFonts w:ascii="Times New Roman" w:hAnsi="Times New Roman" w:cs="Times New Roman"/>
        <w:sz w:val="20"/>
        <w:szCs w:val="20"/>
      </w:rPr>
      <w:tab/>
    </w:r>
  </w:p>
  <w:bookmarkEnd w:id="1"/>
  <w:bookmarkEnd w:id="2"/>
  <w:bookmarkEnd w:id="3"/>
  <w:bookmarkEnd w:id="4"/>
  <w:bookmarkEnd w:id="5"/>
  <w:bookmarkEnd w:id="6"/>
  <w:bookmarkEnd w:id="7"/>
  <w:bookmarkEnd w:id="8"/>
  <w:bookmarkEnd w:id="9"/>
  <w:bookmarkEnd w:id="10"/>
  <w:bookmarkEnd w:id="11"/>
  <w:bookmarkEnd w:id="12"/>
  <w:bookmarkEnd w:id="13"/>
  <w:p w14:paraId="70AA7738" w14:textId="77777777" w:rsidR="002A27A7" w:rsidRDefault="002A2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AD4B5" w14:textId="77777777" w:rsidR="009E6955" w:rsidRPr="005E00FA" w:rsidRDefault="009E6955" w:rsidP="009E6955">
    <w:pPr>
      <w:pBdr>
        <w:bottom w:val="single" w:sz="12" w:space="5" w:color="auto"/>
      </w:pBdr>
      <w:rPr>
        <w:rFonts w:ascii="Times New Roman" w:hAnsi="Times New Roman" w:cs="Times New Roman"/>
        <w:spacing w:val="-2"/>
        <w:sz w:val="20"/>
        <w:szCs w:val="20"/>
      </w:rPr>
    </w:pPr>
    <w:bookmarkStart w:id="14" w:name="_Hlk496261745"/>
    <w:bookmarkStart w:id="15" w:name="_Hlk496261746"/>
    <w:bookmarkStart w:id="16" w:name="_Hlk496261747"/>
    <w:bookmarkStart w:id="17" w:name="_Hlk30491063"/>
    <w:bookmarkStart w:id="18" w:name="_Hlk30491064"/>
  </w:p>
  <w:bookmarkEnd w:id="14"/>
  <w:bookmarkEnd w:id="15"/>
  <w:bookmarkEnd w:id="16"/>
  <w:bookmarkEnd w:id="17"/>
  <w:bookmarkEnd w:id="18"/>
  <w:p w14:paraId="029B4029" w14:textId="77777777" w:rsidR="002A27A7" w:rsidRDefault="002A2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26A7F"/>
    <w:multiLevelType w:val="hybridMultilevel"/>
    <w:tmpl w:val="D0E6C16E"/>
    <w:lvl w:ilvl="0" w:tplc="3768F8F0">
      <w:start w:val="1"/>
      <w:numFmt w:val="lowerLetter"/>
      <w:lvlText w:val="(%1)"/>
      <w:lvlJc w:val="left"/>
      <w:pPr>
        <w:ind w:left="708" w:hanging="568"/>
      </w:pPr>
      <w:rPr>
        <w:rFonts w:ascii="Calibri" w:eastAsia="Calibri" w:hAnsi="Calibri" w:cs="Calibri" w:hint="default"/>
        <w:strike/>
        <w:color w:val="FF0000"/>
        <w:w w:val="99"/>
        <w:sz w:val="22"/>
        <w:szCs w:val="22"/>
        <w:lang w:val="en-US" w:eastAsia="en-US" w:bidi="ar-SA"/>
      </w:rPr>
    </w:lvl>
    <w:lvl w:ilvl="1" w:tplc="B5EEF802">
      <w:numFmt w:val="bullet"/>
      <w:lvlText w:val="•"/>
      <w:lvlJc w:val="left"/>
      <w:pPr>
        <w:ind w:left="1560" w:hanging="568"/>
      </w:pPr>
      <w:rPr>
        <w:rFonts w:hint="default"/>
        <w:lang w:val="en-US" w:eastAsia="en-US" w:bidi="ar-SA"/>
      </w:rPr>
    </w:lvl>
    <w:lvl w:ilvl="2" w:tplc="05B89F52">
      <w:numFmt w:val="bullet"/>
      <w:lvlText w:val="•"/>
      <w:lvlJc w:val="left"/>
      <w:pPr>
        <w:ind w:left="2421" w:hanging="568"/>
      </w:pPr>
      <w:rPr>
        <w:rFonts w:hint="default"/>
        <w:lang w:val="en-US" w:eastAsia="en-US" w:bidi="ar-SA"/>
      </w:rPr>
    </w:lvl>
    <w:lvl w:ilvl="3" w:tplc="9368718A">
      <w:numFmt w:val="bullet"/>
      <w:lvlText w:val="•"/>
      <w:lvlJc w:val="left"/>
      <w:pPr>
        <w:ind w:left="3281" w:hanging="568"/>
      </w:pPr>
      <w:rPr>
        <w:rFonts w:hint="default"/>
        <w:lang w:val="en-US" w:eastAsia="en-US" w:bidi="ar-SA"/>
      </w:rPr>
    </w:lvl>
    <w:lvl w:ilvl="4" w:tplc="55C4AF5E">
      <w:numFmt w:val="bullet"/>
      <w:lvlText w:val="•"/>
      <w:lvlJc w:val="left"/>
      <w:pPr>
        <w:ind w:left="4142" w:hanging="568"/>
      </w:pPr>
      <w:rPr>
        <w:rFonts w:hint="default"/>
        <w:lang w:val="en-US" w:eastAsia="en-US" w:bidi="ar-SA"/>
      </w:rPr>
    </w:lvl>
    <w:lvl w:ilvl="5" w:tplc="3CF4B60A">
      <w:numFmt w:val="bullet"/>
      <w:lvlText w:val="•"/>
      <w:lvlJc w:val="left"/>
      <w:pPr>
        <w:ind w:left="5003" w:hanging="568"/>
      </w:pPr>
      <w:rPr>
        <w:rFonts w:hint="default"/>
        <w:lang w:val="en-US" w:eastAsia="en-US" w:bidi="ar-SA"/>
      </w:rPr>
    </w:lvl>
    <w:lvl w:ilvl="6" w:tplc="1EFE3F66">
      <w:numFmt w:val="bullet"/>
      <w:lvlText w:val="•"/>
      <w:lvlJc w:val="left"/>
      <w:pPr>
        <w:ind w:left="5863" w:hanging="568"/>
      </w:pPr>
      <w:rPr>
        <w:rFonts w:hint="default"/>
        <w:lang w:val="en-US" w:eastAsia="en-US" w:bidi="ar-SA"/>
      </w:rPr>
    </w:lvl>
    <w:lvl w:ilvl="7" w:tplc="BC102E3E">
      <w:numFmt w:val="bullet"/>
      <w:lvlText w:val="•"/>
      <w:lvlJc w:val="left"/>
      <w:pPr>
        <w:ind w:left="6724" w:hanging="568"/>
      </w:pPr>
      <w:rPr>
        <w:rFonts w:hint="default"/>
        <w:lang w:val="en-US" w:eastAsia="en-US" w:bidi="ar-SA"/>
      </w:rPr>
    </w:lvl>
    <w:lvl w:ilvl="8" w:tplc="5F06F8F8">
      <w:numFmt w:val="bullet"/>
      <w:lvlText w:val="•"/>
      <w:lvlJc w:val="left"/>
      <w:pPr>
        <w:ind w:left="7585" w:hanging="568"/>
      </w:pPr>
      <w:rPr>
        <w:rFonts w:hint="default"/>
        <w:lang w:val="en-US" w:eastAsia="en-US" w:bidi="ar-SA"/>
      </w:rPr>
    </w:lvl>
  </w:abstractNum>
  <w:abstractNum w:abstractNumId="1" w15:restartNumberingAfterBreak="0">
    <w:nsid w:val="1DAC1675"/>
    <w:multiLevelType w:val="hybridMultilevel"/>
    <w:tmpl w:val="9A78618C"/>
    <w:lvl w:ilvl="0" w:tplc="BBF65AF0">
      <w:numFmt w:val="bullet"/>
      <w:lvlText w:val="—"/>
      <w:lvlJc w:val="left"/>
      <w:pPr>
        <w:ind w:left="708" w:hanging="568"/>
      </w:pPr>
      <w:rPr>
        <w:rFonts w:ascii="Calibri" w:eastAsia="Calibri" w:hAnsi="Calibri" w:cs="Calibri" w:hint="default"/>
        <w:w w:val="99"/>
        <w:sz w:val="22"/>
        <w:szCs w:val="22"/>
        <w:lang w:val="en-US" w:eastAsia="en-US" w:bidi="ar-SA"/>
      </w:rPr>
    </w:lvl>
    <w:lvl w:ilvl="1" w:tplc="2522EF10">
      <w:numFmt w:val="bullet"/>
      <w:lvlText w:val="•"/>
      <w:lvlJc w:val="left"/>
      <w:pPr>
        <w:ind w:left="1560" w:hanging="568"/>
      </w:pPr>
      <w:rPr>
        <w:rFonts w:hint="default"/>
        <w:lang w:val="en-US" w:eastAsia="en-US" w:bidi="ar-SA"/>
      </w:rPr>
    </w:lvl>
    <w:lvl w:ilvl="2" w:tplc="E36AF18A">
      <w:numFmt w:val="bullet"/>
      <w:lvlText w:val="•"/>
      <w:lvlJc w:val="left"/>
      <w:pPr>
        <w:ind w:left="2421" w:hanging="568"/>
      </w:pPr>
      <w:rPr>
        <w:rFonts w:hint="default"/>
        <w:lang w:val="en-US" w:eastAsia="en-US" w:bidi="ar-SA"/>
      </w:rPr>
    </w:lvl>
    <w:lvl w:ilvl="3" w:tplc="E3C82706">
      <w:numFmt w:val="bullet"/>
      <w:lvlText w:val="•"/>
      <w:lvlJc w:val="left"/>
      <w:pPr>
        <w:ind w:left="3281" w:hanging="568"/>
      </w:pPr>
      <w:rPr>
        <w:rFonts w:hint="default"/>
        <w:lang w:val="en-US" w:eastAsia="en-US" w:bidi="ar-SA"/>
      </w:rPr>
    </w:lvl>
    <w:lvl w:ilvl="4" w:tplc="7A0EF996">
      <w:numFmt w:val="bullet"/>
      <w:lvlText w:val="•"/>
      <w:lvlJc w:val="left"/>
      <w:pPr>
        <w:ind w:left="4142" w:hanging="568"/>
      </w:pPr>
      <w:rPr>
        <w:rFonts w:hint="default"/>
        <w:lang w:val="en-US" w:eastAsia="en-US" w:bidi="ar-SA"/>
      </w:rPr>
    </w:lvl>
    <w:lvl w:ilvl="5" w:tplc="B5DE7D5C">
      <w:numFmt w:val="bullet"/>
      <w:lvlText w:val="•"/>
      <w:lvlJc w:val="left"/>
      <w:pPr>
        <w:ind w:left="5003" w:hanging="568"/>
      </w:pPr>
      <w:rPr>
        <w:rFonts w:hint="default"/>
        <w:lang w:val="en-US" w:eastAsia="en-US" w:bidi="ar-SA"/>
      </w:rPr>
    </w:lvl>
    <w:lvl w:ilvl="6" w:tplc="D65ABC3E">
      <w:numFmt w:val="bullet"/>
      <w:lvlText w:val="•"/>
      <w:lvlJc w:val="left"/>
      <w:pPr>
        <w:ind w:left="5863" w:hanging="568"/>
      </w:pPr>
      <w:rPr>
        <w:rFonts w:hint="default"/>
        <w:lang w:val="en-US" w:eastAsia="en-US" w:bidi="ar-SA"/>
      </w:rPr>
    </w:lvl>
    <w:lvl w:ilvl="7" w:tplc="2C66C98C">
      <w:numFmt w:val="bullet"/>
      <w:lvlText w:val="•"/>
      <w:lvlJc w:val="left"/>
      <w:pPr>
        <w:ind w:left="6724" w:hanging="568"/>
      </w:pPr>
      <w:rPr>
        <w:rFonts w:hint="default"/>
        <w:lang w:val="en-US" w:eastAsia="en-US" w:bidi="ar-SA"/>
      </w:rPr>
    </w:lvl>
    <w:lvl w:ilvl="8" w:tplc="78EA3316">
      <w:numFmt w:val="bullet"/>
      <w:lvlText w:val="•"/>
      <w:lvlJc w:val="left"/>
      <w:pPr>
        <w:ind w:left="7585" w:hanging="568"/>
      </w:pPr>
      <w:rPr>
        <w:rFonts w:hint="default"/>
        <w:lang w:val="en-US" w:eastAsia="en-US" w:bidi="ar-SA"/>
      </w:rPr>
    </w:lvl>
  </w:abstractNum>
  <w:abstractNum w:abstractNumId="2" w15:restartNumberingAfterBreak="0">
    <w:nsid w:val="74095C47"/>
    <w:multiLevelType w:val="hybridMultilevel"/>
    <w:tmpl w:val="C08419B6"/>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6610D3"/>
    <w:multiLevelType w:val="hybridMultilevel"/>
    <w:tmpl w:val="468A9F70"/>
    <w:lvl w:ilvl="0" w:tplc="4842938E">
      <w:start w:val="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71842">
    <w:abstractNumId w:val="0"/>
  </w:num>
  <w:num w:numId="2" w16cid:durableId="2056466986">
    <w:abstractNumId w:val="1"/>
  </w:num>
  <w:num w:numId="3" w16cid:durableId="1802531738">
    <w:abstractNumId w:val="3"/>
  </w:num>
  <w:num w:numId="4" w16cid:durableId="1855529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0F6151"/>
    <w:rsid w:val="000A6762"/>
    <w:rsid w:val="000F6151"/>
    <w:rsid w:val="00125724"/>
    <w:rsid w:val="00134E35"/>
    <w:rsid w:val="001B03F9"/>
    <w:rsid w:val="002A27A7"/>
    <w:rsid w:val="004C3C13"/>
    <w:rsid w:val="004C64B4"/>
    <w:rsid w:val="00501867"/>
    <w:rsid w:val="00507B3D"/>
    <w:rsid w:val="005F30A3"/>
    <w:rsid w:val="00662C42"/>
    <w:rsid w:val="008D6BB3"/>
    <w:rsid w:val="00947955"/>
    <w:rsid w:val="009E6955"/>
    <w:rsid w:val="00A44354"/>
    <w:rsid w:val="00AB6239"/>
    <w:rsid w:val="00AE781F"/>
    <w:rsid w:val="00C53689"/>
    <w:rsid w:val="00CF0593"/>
    <w:rsid w:val="00D332D8"/>
    <w:rsid w:val="00DD4358"/>
    <w:rsid w:val="00DD79E6"/>
    <w:rsid w:val="00E01189"/>
    <w:rsid w:val="00F677A8"/>
    <w:rsid w:val="00FC4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0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60"/>
      <w:ind w:left="708" w:hanging="568"/>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662C42"/>
    <w:pPr>
      <w:tabs>
        <w:tab w:val="center" w:pos="4513"/>
        <w:tab w:val="right" w:pos="9026"/>
      </w:tabs>
    </w:pPr>
  </w:style>
  <w:style w:type="character" w:customStyle="1" w:styleId="HeaderChar">
    <w:name w:val="Header Char"/>
    <w:basedOn w:val="DefaultParagraphFont"/>
    <w:link w:val="Header"/>
    <w:rsid w:val="00662C42"/>
    <w:rPr>
      <w:rFonts w:ascii="Calibri" w:eastAsia="Calibri" w:hAnsi="Calibri" w:cs="Calibri"/>
    </w:rPr>
  </w:style>
  <w:style w:type="paragraph" w:styleId="Footer">
    <w:name w:val="footer"/>
    <w:basedOn w:val="Normal"/>
    <w:link w:val="FooterChar"/>
    <w:uiPriority w:val="99"/>
    <w:unhideWhenUsed/>
    <w:rsid w:val="00662C42"/>
    <w:pPr>
      <w:tabs>
        <w:tab w:val="center" w:pos="4513"/>
        <w:tab w:val="right" w:pos="9026"/>
      </w:tabs>
    </w:pPr>
  </w:style>
  <w:style w:type="character" w:customStyle="1" w:styleId="FooterChar">
    <w:name w:val="Footer Char"/>
    <w:basedOn w:val="DefaultParagraphFont"/>
    <w:link w:val="Footer"/>
    <w:uiPriority w:val="99"/>
    <w:rsid w:val="00662C42"/>
    <w:rPr>
      <w:rFonts w:ascii="Calibri" w:eastAsia="Calibri" w:hAnsi="Calibri" w:cs="Calibri"/>
    </w:rPr>
  </w:style>
  <w:style w:type="table" w:styleId="TableGrid">
    <w:name w:val="Table Grid"/>
    <w:basedOn w:val="TableNormal"/>
    <w:uiPriority w:val="39"/>
    <w:rsid w:val="00AE7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e684137c25bfcb0808f848828b2b14a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29f76294ecb05dd19ae1f373506a3e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93FC6E-4706-4443-A5FA-DC24B3474B92}">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255D7A61-4E40-440E-A7B7-581FC8B2F8C3}">
  <ds:schemaRefs>
    <ds:schemaRef ds:uri="http://schemas.microsoft.com/sharepoint/v3/contenttype/forms"/>
  </ds:schemaRefs>
</ds:datastoreItem>
</file>

<file path=customXml/itemProps3.xml><?xml version="1.0" encoding="utf-8"?>
<ds:datastoreItem xmlns:ds="http://schemas.openxmlformats.org/officeDocument/2006/customXml" ds:itemID="{E1F2194E-55F9-4CAA-A29E-B0777E21642C}"/>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2024-10-09T20:55:00Z</dcterms:created>
  <dcterms:modified xsi:type="dcterms:W3CDTF">2024-12-03T12:39:00Z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